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color w:val="000000"/>
          <w:sz w:val="32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lang w:eastAsia="zh-CN"/>
        </w:rPr>
        <w:t>大兴安岭农村商业银行股份有限公司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color w:val="000000"/>
          <w:sz w:val="32"/>
        </w:rPr>
      </w:pPr>
      <w:r>
        <w:rPr>
          <w:rFonts w:hint="eastAsia" w:ascii="黑体" w:hAnsi="黑体" w:eastAsia="黑体" w:cs="黑体"/>
          <w:b/>
          <w:color w:val="000000"/>
          <w:sz w:val="32"/>
          <w:lang w:eastAsia="zh-CN"/>
        </w:rPr>
        <w:t>信合同利</w:t>
      </w:r>
      <w:r>
        <w:rPr>
          <w:rFonts w:hint="eastAsia" w:ascii="黑体" w:hAnsi="黑体" w:eastAsia="黑体" w:cs="黑体"/>
          <w:b/>
          <w:color w:val="000000"/>
          <w:sz w:val="32"/>
        </w:rPr>
        <w:t>净值型</w:t>
      </w:r>
      <w:r>
        <w:rPr>
          <w:rFonts w:hint="eastAsia" w:ascii="黑体" w:hAnsi="黑体" w:eastAsia="黑体" w:cs="黑体"/>
          <w:b/>
          <w:color w:val="000000"/>
          <w:sz w:val="32"/>
          <w:lang w:eastAsia="zh-CN"/>
        </w:rPr>
        <w:t>系列</w:t>
      </w:r>
      <w:r>
        <w:rPr>
          <w:rFonts w:hint="eastAsia" w:ascii="黑体" w:hAnsi="黑体" w:eastAsia="黑体" w:cs="黑体"/>
          <w:b/>
          <w:color w:val="000000"/>
          <w:sz w:val="32"/>
        </w:rPr>
        <w:t>理财产品</w:t>
      </w:r>
      <w:r>
        <w:rPr>
          <w:rFonts w:hint="eastAsia" w:ascii="黑体" w:hAnsi="黑体" w:eastAsia="黑体" w:cs="黑体"/>
          <w:b/>
          <w:color w:val="000000"/>
          <w:sz w:val="32"/>
          <w:lang w:eastAsia="zh-CN"/>
        </w:rPr>
        <w:t>2025年四季度</w:t>
      </w:r>
      <w:r>
        <w:rPr>
          <w:rFonts w:hint="eastAsia" w:ascii="黑体" w:hAnsi="黑体" w:eastAsia="黑体" w:cs="黑体"/>
          <w:b/>
          <w:color w:val="000000"/>
          <w:sz w:val="32"/>
        </w:rPr>
        <w:t>报告</w:t>
      </w:r>
    </w:p>
    <w:p>
      <w:pPr>
        <w:rPr>
          <w:rFonts w:hint="eastAsia" w:ascii="宋体" w:hAnsi="宋体" w:eastAsia="宋体" w:cs="宋体"/>
          <w:b/>
          <w:color w:val="00000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重要提示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1"/>
        </w:rPr>
        <w:t>温馨提醒：理财非存款，产品有风险，投资需谨慎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1"/>
        </w:rPr>
      </w:pPr>
      <w:r>
        <w:rPr>
          <w:rFonts w:hint="eastAsia" w:ascii="宋体" w:hAnsi="宋体" w:eastAsia="宋体" w:cs="宋体"/>
          <w:color w:val="000000"/>
          <w:sz w:val="21"/>
          <w:lang w:eastAsia="zh-CN"/>
        </w:rPr>
        <w:t>（二）</w:t>
      </w:r>
      <w:r>
        <w:rPr>
          <w:rFonts w:hint="eastAsia" w:ascii="宋体" w:hAnsi="宋体" w:eastAsia="宋体" w:cs="宋体"/>
          <w:color w:val="000000"/>
          <w:sz w:val="21"/>
        </w:rPr>
        <w:t>理财信息可供参考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1"/>
        </w:rPr>
        <w:t>详情请咨询理财经理，或在“中国理财网www.chinawealth.com.cn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大兴安岭农村商业银行股份有限公司</w:t>
      </w:r>
      <w:r>
        <w:rPr>
          <w:rFonts w:hint="eastAsia" w:ascii="宋体" w:hAnsi="宋体" w:eastAsia="宋体" w:cs="宋体"/>
          <w:color w:val="000000"/>
          <w:sz w:val="21"/>
          <w:lang w:val="en-US" w:eastAsia="zh-CN"/>
        </w:rPr>
        <w:t xml:space="preserve">官网 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www.dxalrcb.com</w:t>
      </w:r>
      <w:r>
        <w:rPr>
          <w:rFonts w:hint="eastAsia" w:ascii="宋体" w:hAnsi="宋体" w:eastAsia="宋体" w:cs="宋体"/>
          <w:color w:val="000000"/>
          <w:sz w:val="21"/>
        </w:rPr>
        <w:t>”查询该产品相关信息。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</w:rPr>
      </w:pPr>
      <w:r>
        <w:rPr>
          <w:rFonts w:hint="eastAsia" w:ascii="宋体" w:hAnsi="宋体" w:eastAsia="宋体" w:cs="宋体"/>
          <w:color w:val="000000"/>
          <w:sz w:val="21"/>
          <w:lang w:eastAsia="zh-CN"/>
        </w:rPr>
        <w:t>（三）大兴安岭农村商业银行股份有限公司</w:t>
      </w:r>
      <w:r>
        <w:rPr>
          <w:rFonts w:hint="eastAsia" w:ascii="宋体" w:hAnsi="宋体" w:eastAsia="宋体" w:cs="宋体"/>
          <w:color w:val="000000"/>
          <w:sz w:val="21"/>
        </w:rPr>
        <w:t>保留对所有文字说明的最终解释权。</w:t>
      </w:r>
    </w:p>
    <w:p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color w:val="000000"/>
          <w:sz w:val="24"/>
        </w:rPr>
      </w:pPr>
    </w:p>
    <w:p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产品基本情况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color w:val="000000"/>
          <w:sz w:val="24"/>
        </w:rPr>
      </w:pPr>
    </w:p>
    <w:tbl>
      <w:tblPr>
        <w:tblStyle w:val="4"/>
        <w:tblW w:w="9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6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产品名称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信合同利净值型系列理财产品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全国银行业理财信息登记系统编码</w:t>
            </w:r>
          </w:p>
        </w:tc>
        <w:tc>
          <w:tcPr>
            <w:tcW w:w="6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产品登记编码可在“中国理财网www.chinawealth.com.cn”查询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产品运作方式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产品募集方式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投资类型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风险等级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发行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大兴安岭农村商业银行股份有限公司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产品托管人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招商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银行股份有限公司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天津分行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报告期末产品份额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251,950,000.00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报告期末产品资产净值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256,267,039.20</w:t>
            </w:r>
          </w:p>
        </w:tc>
      </w:tr>
    </w:tbl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color w:val="000000"/>
          <w:sz w:val="24"/>
          <w:lang w:eastAsia="zh-CN"/>
        </w:rPr>
      </w:pPr>
    </w:p>
    <w:p>
      <w:pPr>
        <w:numPr>
          <w:ilvl w:val="0"/>
          <w:numId w:val="3"/>
        </w:numPr>
        <w:ind w:firstLine="482" w:firstLineChars="200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产品</w:t>
      </w: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净值</w:t>
      </w:r>
      <w:r>
        <w:rPr>
          <w:rFonts w:ascii="宋体" w:hAnsi="宋体" w:eastAsia="宋体" w:cs="宋体"/>
          <w:b/>
          <w:color w:val="000000"/>
          <w:sz w:val="24"/>
        </w:rPr>
        <w:t>表现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color w:val="000000"/>
          <w:sz w:val="24"/>
        </w:rPr>
      </w:pPr>
    </w:p>
    <w:tbl>
      <w:tblPr>
        <w:tblStyle w:val="5"/>
        <w:tblW w:w="9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220"/>
        <w:gridCol w:w="1215"/>
        <w:gridCol w:w="1245"/>
        <w:gridCol w:w="720"/>
        <w:gridCol w:w="151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22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2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151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产品份额净值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2025/1/9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26/1/8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002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2025/1/16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26/1/15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2025/1/23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26/1/22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006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2025/2/6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26/1/29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008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2025/2/13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26/2/5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009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2025/2/20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26/2/12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2025/2/27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26/2/26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013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2025/3/6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26/3/5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016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2025/3/13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26/3/12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2025/3/20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26/3/19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020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2025/3/27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26/3/26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2025/4/3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26/4/2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2025/4/10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26/4/9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2025/4/17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26/4/16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028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2025/4/24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26/4/23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2025/5/8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26/5/7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2025/5/15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26/5/14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2025/5/22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26/5/21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036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2025/5/29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26/5/28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037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信合同利净值型系列（社保卡）2025年1期理财产品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2025/6/5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26/6/4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039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2025/6/12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26/6/11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2025/6/19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26/6/11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2025/6/26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26/6/25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信合同利净值型系列（社保卡）2025年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期理财产品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2025/7/3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26/7/2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2025/7/10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26/7/9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2025/7/17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26/7/16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049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2025/7/24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26/7/23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052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2025/7/31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26/7/30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054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2025/8/7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26/8/6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056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2025/8/14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26/8/13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057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2025/8/21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26/8/20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059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2025/8/28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26/8/27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061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2025/9/4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26/9/3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064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2025/9/11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26/9/10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1.0072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报告期内产品的投资策略和运作分析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ascii="宋体" w:hAnsi="宋体" w:eastAsia="宋体" w:cs="宋体"/>
          <w:b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outlineLvl w:val="9"/>
        <w:rPr>
          <w:rFonts w:ascii="宋体" w:hAnsi="宋体" w:eastAsia="宋体" w:cs="宋体"/>
          <w:b/>
          <w:bCs/>
          <w:color w:val="000000"/>
          <w:sz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lang w:eastAsia="zh-CN"/>
        </w:rPr>
        <w:t>（一）</w:t>
      </w:r>
      <w:r>
        <w:rPr>
          <w:rFonts w:ascii="宋体" w:hAnsi="宋体" w:eastAsia="宋体" w:cs="宋体"/>
          <w:b/>
          <w:bCs/>
          <w:color w:val="000000"/>
          <w:sz w:val="21"/>
        </w:rPr>
        <w:t>市场观点</w:t>
      </w:r>
    </w:p>
    <w:p>
      <w:pPr>
        <w:spacing w:beforeLines="0" w:afterLines="0"/>
        <w:ind w:firstLine="422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基本面：</w:t>
      </w:r>
      <w:r>
        <w:rPr>
          <w:rFonts w:hint="eastAsia" w:ascii="宋体" w:hAnsi="宋体" w:eastAsia="宋体" w:cs="宋体"/>
          <w:sz w:val="21"/>
          <w:szCs w:val="21"/>
        </w:rPr>
        <w:t>2025年宏观经济运行呈现总体平稳、结构分化的发展态势。外部压力下政策托底显效。供给端PMI波动调整、PPI降幅收窄，工业服务业保持稳健；需求端消费温和复苏，投资转负，出口依托新兴市场保持韧性。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政策面：</w:t>
      </w:r>
      <w:r>
        <w:rPr>
          <w:rFonts w:hint="eastAsia" w:ascii="宋体" w:hAnsi="宋体" w:eastAsia="宋体" w:cs="宋体"/>
          <w:sz w:val="21"/>
          <w:szCs w:val="21"/>
        </w:rPr>
        <w:t>2025年是“十四五”规划收官之年，也是“十五五”规划谋篇布局之年。面对更趋复杂严峻的外部环境，实施更加积极有为的宏观政策，财政政策更加积极、接续发力，着力稳就业、稳企业、稳市场、稳预期；货币政策适度宽松，中国人民银行综合运用数量型、价格型、结构性等多种货币政策工具，保持流动性充裕。财政政策与货币政策加强协同，推动经济持续回升向好。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资金面：</w:t>
      </w:r>
      <w:r>
        <w:rPr>
          <w:rFonts w:hint="eastAsia" w:ascii="宋体" w:hAnsi="宋体" w:eastAsia="宋体" w:cs="宋体"/>
          <w:sz w:val="21"/>
          <w:szCs w:val="21"/>
        </w:rPr>
        <w:t>2025年，银行间货币市场在“适度宽松”的货币政策环境下，呈现出流动性合理充裕、利率中枢稳步下行、市场结构持续优化的显著特征。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债券走势：</w:t>
      </w:r>
      <w:r>
        <w:rPr>
          <w:rFonts w:hint="eastAsia" w:ascii="宋体" w:hAnsi="宋体" w:eastAsia="宋体" w:cs="宋体"/>
          <w:sz w:val="21"/>
          <w:szCs w:val="21"/>
        </w:rPr>
        <w:t>2025年债市整体呈窄幅震荡，10年期国债收益率在1.60%-1.90%区间波动。全年经历五个阶段：年初调整、关税冲击下的快速修复、二季度横盘、下半年因股市走强及监管扰动震荡回升、年末多空博弈高位盘整。行情呈现“上涨-阴跌”交替特征，市场体验较为煎熬。</w:t>
      </w:r>
    </w:p>
    <w:p>
      <w:pPr>
        <w:spacing w:beforeLines="0" w:afterLines="0"/>
        <w:ind w:firstLine="422" w:firstLineChars="200"/>
        <w:jc w:val="left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1"/>
          <w:szCs w:val="21"/>
        </w:rPr>
        <w:t>未来展望：</w:t>
      </w:r>
      <w:bookmarkEnd w:id="0"/>
      <w:r>
        <w:rPr>
          <w:rFonts w:hint="eastAsia" w:ascii="宋体" w:hAnsi="宋体" w:eastAsia="宋体" w:cs="宋体"/>
          <w:sz w:val="21"/>
          <w:szCs w:val="21"/>
        </w:rPr>
        <w:t>2026年债市预计维持宽幅震荡。利率债将受财政供给和政策博弈影响，波动加大，可侧重波段操作。投资策略需侧重灵活交易与波段操作，紧密跟踪经济、通胀、供给及监管等关键变量。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outlineLvl w:val="9"/>
        <w:rPr>
          <w:rFonts w:ascii="宋体" w:hAnsi="宋体" w:eastAsia="宋体" w:cs="宋体"/>
          <w:b/>
          <w:bCs/>
          <w:color w:val="000000"/>
          <w:sz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lang w:eastAsia="zh-CN"/>
        </w:rPr>
        <w:t>（二）投资</w:t>
      </w:r>
      <w:r>
        <w:rPr>
          <w:rFonts w:ascii="宋体" w:hAnsi="宋体" w:eastAsia="宋体" w:cs="宋体"/>
          <w:b/>
          <w:bCs/>
          <w:color w:val="000000"/>
          <w:sz w:val="21"/>
        </w:rPr>
        <w:t>运作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理财资产配置以固定收益类为主，投资资产类型为银行存款、信托计划，底层资产为银行存款及债券，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在保持本金高安全性的前提下，兼顾资金的流动性与高效益性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投资组合情况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ascii="宋体" w:hAnsi="宋体" w:eastAsia="宋体" w:cs="宋体"/>
          <w:b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1"/>
        </w:rPr>
      </w:pPr>
      <w:r>
        <w:rPr>
          <w:rFonts w:hint="eastAsia" w:ascii="宋体" w:hAnsi="宋体" w:eastAsia="宋体" w:cs="宋体"/>
          <w:b/>
          <w:color w:val="000000"/>
          <w:sz w:val="21"/>
          <w:lang w:eastAsia="zh-CN"/>
        </w:rPr>
        <w:t>（一）</w:t>
      </w:r>
      <w:r>
        <w:rPr>
          <w:rFonts w:ascii="宋体" w:hAnsi="宋体" w:eastAsia="宋体" w:cs="宋体"/>
          <w:b/>
          <w:color w:val="000000"/>
          <w:sz w:val="21"/>
        </w:rPr>
        <w:t>报告期末产品资产组合情况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资产类型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金额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银行存款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60,000.00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0.02%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信托计划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251,890,000.00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99.98%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合计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251,950,000.00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1"/>
        </w:rPr>
      </w:pPr>
      <w:r>
        <w:rPr>
          <w:rFonts w:hint="eastAsia" w:ascii="宋体" w:hAnsi="宋体" w:eastAsia="宋体" w:cs="宋体"/>
          <w:b/>
          <w:color w:val="000000"/>
          <w:sz w:val="21"/>
          <w:lang w:eastAsia="zh-CN"/>
        </w:rPr>
        <w:t>（二）</w:t>
      </w:r>
      <w:r>
        <w:rPr>
          <w:rFonts w:ascii="宋体" w:hAnsi="宋体" w:eastAsia="宋体" w:cs="宋体"/>
          <w:b/>
          <w:color w:val="000000"/>
          <w:sz w:val="21"/>
        </w:rPr>
        <w:t>报告期末杠杆融资情况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>报告期末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未</w:t>
      </w:r>
      <w:r>
        <w:rPr>
          <w:rFonts w:ascii="宋体" w:hAnsi="宋体" w:eastAsia="宋体" w:cs="宋体"/>
          <w:color w:val="000000"/>
          <w:sz w:val="21"/>
        </w:rPr>
        <w:t>对本产品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进行</w:t>
      </w:r>
      <w:r>
        <w:rPr>
          <w:rFonts w:ascii="宋体" w:hAnsi="宋体" w:eastAsia="宋体" w:cs="宋体"/>
          <w:color w:val="000000"/>
          <w:sz w:val="21"/>
        </w:rPr>
        <w:t>杠杆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操作</w:t>
      </w:r>
      <w:r>
        <w:rPr>
          <w:rFonts w:ascii="宋体" w:hAnsi="宋体" w:eastAsia="宋体" w:cs="宋体"/>
          <w:color w:val="000000"/>
          <w:sz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lang w:eastAsia="zh-CN"/>
        </w:rPr>
        <w:t>（三）</w:t>
      </w:r>
      <w:r>
        <w:rPr>
          <w:rFonts w:ascii="宋体" w:hAnsi="宋体" w:eastAsia="宋体" w:cs="宋体"/>
          <w:b/>
          <w:bCs/>
          <w:color w:val="000000"/>
          <w:sz w:val="21"/>
        </w:rPr>
        <w:t>报</w:t>
      </w:r>
      <w:r>
        <w:rPr>
          <w:rFonts w:ascii="宋体" w:hAnsi="宋体" w:eastAsia="宋体" w:cs="宋体"/>
          <w:b/>
          <w:color w:val="000000"/>
          <w:sz w:val="21"/>
        </w:rPr>
        <w:t>告期末</w:t>
      </w:r>
      <w:r>
        <w:rPr>
          <w:rFonts w:hint="eastAsia" w:ascii="宋体" w:hAnsi="宋体" w:eastAsia="宋体" w:cs="宋体"/>
          <w:b/>
          <w:color w:val="000000"/>
          <w:sz w:val="21"/>
          <w:lang w:eastAsia="zh-CN"/>
        </w:rPr>
        <w:t>底层</w:t>
      </w:r>
      <w:r>
        <w:rPr>
          <w:rFonts w:ascii="宋体" w:hAnsi="宋体" w:eastAsia="宋体" w:cs="宋体"/>
          <w:b/>
          <w:color w:val="000000"/>
          <w:sz w:val="21"/>
        </w:rPr>
        <w:t>资产持仓信息</w:t>
      </w:r>
    </w:p>
    <w:tbl>
      <w:tblPr>
        <w:tblStyle w:val="5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6"/>
        <w:gridCol w:w="2786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序号</w:t>
            </w:r>
          </w:p>
        </w:tc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债券类型</w:t>
            </w: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持仓规模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商业性金融债</w:t>
            </w: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195,000,000.00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企业债券</w:t>
            </w: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161,000,000.00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合计</w:t>
            </w:r>
          </w:p>
        </w:tc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vertAlign w:val="baseline"/>
              </w:rPr>
            </w:pP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356,000,000.00</w:t>
            </w:r>
          </w:p>
        </w:tc>
      </w:tr>
    </w:tbl>
    <w:p>
      <w:pPr>
        <w:numPr>
          <w:ilvl w:val="0"/>
          <w:numId w:val="0"/>
        </w:numPr>
        <w:ind w:leftChars="0"/>
        <w:rPr>
          <w:rFonts w:ascii="宋体" w:hAnsi="宋体" w:eastAsia="宋体" w:cs="宋体"/>
          <w:b/>
          <w:color w:val="000000"/>
          <w:sz w:val="21"/>
        </w:rPr>
      </w:pPr>
    </w:p>
    <w:p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color w:val="000000"/>
          <w:sz w:val="21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六、理财托管</w:t>
      </w:r>
      <w:r>
        <w:rPr>
          <w:rFonts w:ascii="宋体" w:hAnsi="宋体" w:eastAsia="宋体" w:cs="宋体"/>
          <w:b/>
          <w:color w:val="000000"/>
          <w:sz w:val="24"/>
        </w:rPr>
        <w:t>机构</w:t>
      </w: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报告</w:t>
      </w: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numPr>
          <w:ilvl w:val="0"/>
          <w:numId w:val="0"/>
        </w:numPr>
        <w:ind w:leftChars="200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  <w:t>序号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  <w:t>机构类别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eastAsia="zh-CN"/>
              </w:rPr>
              <w:t>托管机构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招商银行股份有限公司天津分行</w:t>
            </w:r>
          </w:p>
        </w:tc>
      </w:tr>
    </w:tbl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color w:val="000000"/>
          <w:sz w:val="24"/>
          <w:lang w:eastAsia="zh-CN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lang w:eastAsia="zh-CN"/>
        </w:rPr>
        <w:t>托管人声明：</w:t>
      </w:r>
      <w:r>
        <w:rPr>
          <w:rFonts w:ascii="宋体" w:hAnsi="宋体" w:eastAsia="宋体" w:cs="宋体"/>
          <w:sz w:val="21"/>
          <w:szCs w:val="21"/>
        </w:rPr>
        <w:t>招商银行具备完善的公司治理结构、内部稽核监控制度和风险控制制度，在对信合同利净值型系列理财产品托管的过程中，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严格</w:t>
      </w:r>
      <w:r>
        <w:rPr>
          <w:rFonts w:ascii="宋体" w:hAnsi="宋体" w:eastAsia="宋体" w:cs="宋体"/>
          <w:sz w:val="21"/>
          <w:szCs w:val="21"/>
        </w:rPr>
        <w:t>遵守有关法律法规、托管协议的规定，尽职尽责地履行托管义务并安全保管托管资产。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ascii="宋体" w:hAnsi="宋体" w:eastAsia="宋体" w:cs="宋体"/>
          <w:color w:val="000000"/>
          <w:sz w:val="21"/>
        </w:rPr>
      </w:pPr>
      <w:r>
        <w:rPr>
          <w:rFonts w:hint="eastAsia" w:ascii="宋体" w:hAnsi="宋体" w:eastAsia="宋体" w:cs="宋体"/>
          <w:color w:val="000000"/>
          <w:sz w:val="21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报告期内，</w:t>
      </w:r>
      <w:r>
        <w:rPr>
          <w:rFonts w:ascii="宋体" w:hAnsi="宋体" w:eastAsia="宋体" w:cs="宋体"/>
          <w:color w:val="000000"/>
          <w:sz w:val="21"/>
        </w:rPr>
        <w:t>托管人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对估值机构在本理财</w:t>
      </w:r>
      <w:r>
        <w:rPr>
          <w:rFonts w:ascii="宋体" w:hAnsi="宋体" w:eastAsia="宋体" w:cs="宋体"/>
          <w:color w:val="000000"/>
          <w:sz w:val="21"/>
        </w:rPr>
        <w:t>报告中的净值表现、投资组合等内容进行了必要的监督、复核和审查，认为其真实、准确和完整，不存在虚假记载、误导性陈述或者重大遗漏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的情形</w:t>
      </w:r>
      <w:r>
        <w:rPr>
          <w:rFonts w:ascii="宋体" w:hAnsi="宋体" w:eastAsia="宋体" w:cs="宋体"/>
          <w:color w:val="000000"/>
          <w:sz w:val="21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000000"/>
          <w:sz w:val="24"/>
          <w:lang w:eastAsia="zh-CN"/>
        </w:rPr>
      </w:pPr>
    </w:p>
    <w:p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color w:val="000000"/>
          <w:sz w:val="21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七、理财外包</w:t>
      </w:r>
      <w:r>
        <w:rPr>
          <w:rFonts w:ascii="宋体" w:hAnsi="宋体" w:eastAsia="宋体" w:cs="宋体"/>
          <w:b/>
          <w:color w:val="000000"/>
          <w:sz w:val="24"/>
        </w:rPr>
        <w:t>机构</w:t>
      </w: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报告</w:t>
      </w:r>
      <w:r>
        <w:rPr>
          <w:rFonts w:ascii="宋体" w:hAnsi="宋体" w:eastAsia="宋体" w:cs="宋体"/>
          <w:color w:val="000000"/>
          <w:sz w:val="21"/>
        </w:rPr>
        <w:t xml:space="preserve">  </w:t>
      </w:r>
    </w:p>
    <w:p>
      <w:pPr>
        <w:numPr>
          <w:ilvl w:val="0"/>
          <w:numId w:val="0"/>
        </w:numPr>
        <w:ind w:leftChars="200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  <w:t>序号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  <w:t>机构类别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eastAsia="zh-CN"/>
              </w:rPr>
              <w:t>估值机构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中信建投证券股份有限公司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ascii="宋体" w:hAnsi="宋体" w:eastAsia="宋体" w:cs="宋体"/>
          <w:color w:val="000000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>报告期内，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中信建投</w:t>
      </w:r>
      <w:r>
        <w:rPr>
          <w:rFonts w:ascii="宋体" w:hAnsi="宋体" w:eastAsia="宋体" w:cs="宋体"/>
          <w:color w:val="000000"/>
          <w:sz w:val="21"/>
        </w:rPr>
        <w:t>严格遵守《商业银行理财业务监督管理办法》及相关法律法规规定、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估值</w:t>
      </w:r>
      <w:r>
        <w:rPr>
          <w:rFonts w:ascii="宋体" w:hAnsi="宋体" w:eastAsia="宋体" w:cs="宋体"/>
          <w:color w:val="000000"/>
          <w:sz w:val="21"/>
        </w:rPr>
        <w:t>协议约定，诚实信用、谨慎勤勉地履行了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估值机构</w:t>
      </w:r>
      <w:r>
        <w:rPr>
          <w:rFonts w:ascii="宋体" w:hAnsi="宋体" w:eastAsia="宋体" w:cs="宋体"/>
          <w:color w:val="000000"/>
          <w:sz w:val="21"/>
        </w:rPr>
        <w:t>义务，不存在损害理财产品投资者利益的行为。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 w:ascii="宋体" w:hAnsi="宋体" w:eastAsia="宋体" w:cs="宋体"/>
          <w:b w:val="0"/>
          <w:bCs/>
          <w:color w:val="000000"/>
          <w:sz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lang w:eastAsia="zh-CN"/>
        </w:rPr>
        <w:t>大兴安岭农村商业银行股份有限公司</w:t>
      </w:r>
    </w:p>
    <w:p>
      <w:pPr>
        <w:numPr>
          <w:ilvl w:val="0"/>
          <w:numId w:val="0"/>
        </w:numPr>
        <w:ind w:leftChars="0"/>
        <w:jc w:val="right"/>
        <w:rPr>
          <w:rFonts w:hint="eastAsia" w:ascii="宋体" w:hAnsi="宋体" w:eastAsia="宋体" w:cs="宋体"/>
          <w:b/>
          <w:color w:val="000000"/>
          <w:sz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lang w:val="en-US" w:eastAsia="zh-CN"/>
        </w:rPr>
        <w:t>二〇二五年十二月三十一日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FFF09D"/>
    <w:multiLevelType w:val="singleLevel"/>
    <w:tmpl w:val="B7FFF0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2A955A"/>
    <w:multiLevelType w:val="singleLevel"/>
    <w:tmpl w:val="462A955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41E2EA1"/>
    <w:multiLevelType w:val="singleLevel"/>
    <w:tmpl w:val="741E2E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1559E"/>
    <w:rsid w:val="04C156F9"/>
    <w:rsid w:val="0B4774FA"/>
    <w:rsid w:val="0C9F6573"/>
    <w:rsid w:val="102F3F6C"/>
    <w:rsid w:val="13806CAB"/>
    <w:rsid w:val="14A33894"/>
    <w:rsid w:val="1E882A4F"/>
    <w:rsid w:val="20C67C09"/>
    <w:rsid w:val="22CC5F70"/>
    <w:rsid w:val="249D344A"/>
    <w:rsid w:val="25163C2D"/>
    <w:rsid w:val="26C6199B"/>
    <w:rsid w:val="2B9E5991"/>
    <w:rsid w:val="2C155412"/>
    <w:rsid w:val="2C937FF9"/>
    <w:rsid w:val="33DE76B3"/>
    <w:rsid w:val="39191AA1"/>
    <w:rsid w:val="3C196B64"/>
    <w:rsid w:val="3C74570A"/>
    <w:rsid w:val="40121469"/>
    <w:rsid w:val="43C8512D"/>
    <w:rsid w:val="47FD4EBB"/>
    <w:rsid w:val="484E54F7"/>
    <w:rsid w:val="4A6326D5"/>
    <w:rsid w:val="4C084305"/>
    <w:rsid w:val="4E216721"/>
    <w:rsid w:val="4F6E37B7"/>
    <w:rsid w:val="52BE1AA7"/>
    <w:rsid w:val="53872689"/>
    <w:rsid w:val="58487FAA"/>
    <w:rsid w:val="58924284"/>
    <w:rsid w:val="5E3D1436"/>
    <w:rsid w:val="5E85286B"/>
    <w:rsid w:val="614C57F6"/>
    <w:rsid w:val="653369B9"/>
    <w:rsid w:val="66343FF9"/>
    <w:rsid w:val="66EE7975"/>
    <w:rsid w:val="6AB97CA4"/>
    <w:rsid w:val="6D9C1477"/>
    <w:rsid w:val="72155AED"/>
    <w:rsid w:val="791F1BA1"/>
    <w:rsid w:val="7C8E16A7"/>
    <w:rsid w:val="7CF9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2023-01-10T01:21:00Z</dcterms:created>
  <dc:creator>江宇</dc:creator>
  <cp:lastModifiedBy>江宇</cp:lastModifiedBy>
  <dcterms:modified xsi:type="dcterms:W3CDTF">2026-01-04T06:49:20Z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