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color w:val="000000"/>
          <w:sz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大兴安岭农村商业银行股份有限公司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32"/>
        </w:rPr>
      </w:pP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信合同利</w:t>
      </w:r>
      <w:r>
        <w:rPr>
          <w:rFonts w:hint="eastAsia" w:ascii="黑体" w:hAnsi="黑体" w:eastAsia="黑体" w:cs="黑体"/>
          <w:b/>
          <w:color w:val="000000"/>
          <w:sz w:val="32"/>
        </w:rPr>
        <w:t>净值型</w:t>
      </w: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系列</w:t>
      </w:r>
      <w:r>
        <w:rPr>
          <w:rFonts w:hint="eastAsia" w:ascii="黑体" w:hAnsi="黑体" w:eastAsia="黑体" w:cs="黑体"/>
          <w:b/>
          <w:color w:val="000000"/>
          <w:sz w:val="32"/>
        </w:rPr>
        <w:t>理财产品</w:t>
      </w: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202</w:t>
      </w:r>
      <w:r>
        <w:rPr>
          <w:rFonts w:hint="eastAsia" w:ascii="黑体" w:hAnsi="黑体" w:eastAsia="黑体" w:cs="黑体"/>
          <w:b/>
          <w:color w:val="000000"/>
          <w:sz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年</w:t>
      </w:r>
      <w:r>
        <w:rPr>
          <w:rFonts w:hint="eastAsia" w:ascii="黑体" w:hAnsi="黑体" w:eastAsia="黑体" w:cs="黑体"/>
          <w:b/>
          <w:color w:val="000000"/>
          <w:sz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季度</w:t>
      </w:r>
      <w:r>
        <w:rPr>
          <w:rFonts w:hint="eastAsia" w:ascii="黑体" w:hAnsi="黑体" w:eastAsia="黑体" w:cs="黑体"/>
          <w:b/>
          <w:color w:val="000000"/>
          <w:sz w:val="32"/>
        </w:rPr>
        <w:t>报告</w:t>
      </w:r>
    </w:p>
    <w:p>
      <w:pPr>
        <w:rPr>
          <w:rFonts w:hint="eastAsia" w:ascii="宋体" w:hAnsi="宋体" w:eastAsia="宋体" w:cs="宋体"/>
          <w:b/>
          <w:color w:val="00000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重要提示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温馨提醒：理财非存款，产品有风险，投资需谨慎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大兴安岭农村商业银行股份有限公司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保证本报告所载资料不存在虚假记载、误导性陈述或重大遗落。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大兴安岭农村商业银行股份有限公司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承诺以诚实守信、勤勉尽责的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原则管理和运用理财产品资产</w:t>
      </w:r>
      <w:r>
        <w:rPr>
          <w:rFonts w:hint="eastAsia" w:ascii="宋体" w:hAnsi="宋体" w:eastAsia="宋体" w:cs="宋体"/>
          <w:spacing w:val="-6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但不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保证理财产品本金和收益。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12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本报告所引用的业绩表现仅代表过往业绩表现，过往的业绩表现亦不作为日后投资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回报的预示，大兴安岭农村商业银行股份有限公司不承诺也不保证任何投资回报。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理财产品托管人复核了本报告中的财务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指标、净值表现、投资组合报告等内容，</w:t>
      </w:r>
      <w:r>
        <w:rPr>
          <w:rFonts w:hint="eastAsia" w:ascii="宋体" w:hAnsi="宋体" w:eastAsia="宋体" w:cs="宋体"/>
          <w:spacing w:val="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保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证复核内容不存在虚假记载、误导性陈述或者重大遗漏。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理财信息可供参考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详情请咨询理财经理，或在“中国理财网www.chinawealth.com.cn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大兴安岭农村商业银行股份有限公司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官网 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www.dxalrcb.com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”查询该产品相关信息。</w:t>
      </w:r>
    </w:p>
    <w:p>
      <w:pPr>
        <w:numPr>
          <w:ilvl w:val="0"/>
          <w:numId w:val="2"/>
        </w:numPr>
        <w:ind w:left="0" w:leftChars="0" w:firstLine="420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大兴安岭农村商业银行股份有限公司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保留对所有文字说明的最终解释权。</w:t>
      </w:r>
    </w:p>
    <w:p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3"/>
        </w:numPr>
        <w:ind w:firstLine="482" w:firstLineChars="200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产品基本情况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color w:val="000000"/>
          <w:sz w:val="24"/>
        </w:rPr>
      </w:pPr>
    </w:p>
    <w:tbl>
      <w:tblPr>
        <w:tblStyle w:val="2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6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产品名称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信合同利净值型系列理财产品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全国银行业理财信息登记系统编码</w:t>
            </w:r>
          </w:p>
        </w:tc>
        <w:tc>
          <w:tcPr>
            <w:tcW w:w="6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产品登记编码可在“中国理财网www.chinawealth.com.cn”查询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产品运作方式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产品募集方式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投资类型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风险等级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发行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大兴安岭农村商业银行股份有限公司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产品托管人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招商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银行股份有限公司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天津分行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报告期末产品份额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160,561,000.00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报告期末产品资产净值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163,923,908.00</w:t>
            </w:r>
          </w:p>
        </w:tc>
      </w:tr>
    </w:tbl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numPr>
          <w:ilvl w:val="0"/>
          <w:numId w:val="4"/>
        </w:numPr>
        <w:ind w:firstLine="482" w:firstLineChars="200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产品</w:t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净值</w:t>
      </w:r>
      <w:r>
        <w:rPr>
          <w:rFonts w:ascii="宋体" w:hAnsi="宋体" w:eastAsia="宋体" w:cs="宋体"/>
          <w:b/>
          <w:color w:val="000000"/>
          <w:sz w:val="24"/>
        </w:rPr>
        <w:t>表现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color w:val="000000"/>
          <w:sz w:val="24"/>
        </w:rPr>
      </w:pPr>
    </w:p>
    <w:tbl>
      <w:tblPr>
        <w:tblStyle w:val="3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220"/>
        <w:gridCol w:w="1215"/>
        <w:gridCol w:w="1245"/>
        <w:gridCol w:w="720"/>
        <w:gridCol w:w="151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22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2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51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产品份额净值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2025/4/3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26/4/2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2025/4/10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26/4/9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2025/4/17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26/4/16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028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2025/4/24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26/4/23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2025/5/8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26/5/7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2025/5/15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26/5/14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2025/5/22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26/5/21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2025/5/29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26/5/28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信合同利净值型系列（社保卡）2025年1期理财产品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2025/6/5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26/6/4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2025/6/12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26/6/11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2025/6/19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26/6/11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2025/6/26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26/6/25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信合同利净值型系列（社保卡）2025年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期理财产品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2025/7/3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26/7/2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2025/7/10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26/7/9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2025/7/17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26/7/16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049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2025/7/24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26/7/23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052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2025/7/31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26/7/30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054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2025/8/7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26/8/6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056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2025/8/14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26/8/13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057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2025/8/21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26/8/20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059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2025/8/28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26/8/27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061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2025/9/4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26/9/3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064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2025/9/11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26/9/10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1.0132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报告期内产品的投资运作分析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理财资产配置以固定收益类为主，投资资产类型为银行存款、信托计划，底层资产为银行存款及债券，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在保持本金高安全性的前提下，兼顾资金的流动性与高效益性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投资组合情况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>及流动性分析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1"/>
          <w:lang w:eastAsia="zh-CN"/>
        </w:rPr>
        <w:t>（一）</w:t>
      </w:r>
      <w:r>
        <w:rPr>
          <w:rFonts w:ascii="宋体" w:hAnsi="宋体" w:eastAsia="宋体" w:cs="宋体"/>
          <w:b/>
          <w:color w:val="000000"/>
          <w:sz w:val="21"/>
        </w:rPr>
        <w:t>报告期末产品资产组合情况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资产类型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val="en-US" w:eastAsia="zh-CN"/>
              </w:rPr>
              <w:t>持仓规模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银行存款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41,000.00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0.03%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信托计划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160,520,000.00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99.97%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合计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160,561,000.00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100.00%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1"/>
          <w:lang w:eastAsia="zh-CN"/>
        </w:rPr>
        <w:t>（二）</w:t>
      </w:r>
      <w:r>
        <w:rPr>
          <w:rFonts w:ascii="宋体" w:hAnsi="宋体" w:eastAsia="宋体" w:cs="宋体"/>
          <w:b/>
          <w:color w:val="000000"/>
          <w:sz w:val="21"/>
        </w:rPr>
        <w:t>报告期末杠杆融资情况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>报告期末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未</w:t>
      </w:r>
      <w:r>
        <w:rPr>
          <w:rFonts w:ascii="宋体" w:hAnsi="宋体" w:eastAsia="宋体" w:cs="宋体"/>
          <w:color w:val="000000"/>
          <w:sz w:val="21"/>
        </w:rPr>
        <w:t>对本产品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进行</w:t>
      </w:r>
      <w:r>
        <w:rPr>
          <w:rFonts w:ascii="宋体" w:hAnsi="宋体" w:eastAsia="宋体" w:cs="宋体"/>
          <w:color w:val="000000"/>
          <w:sz w:val="21"/>
        </w:rPr>
        <w:t>杠杆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操作</w:t>
      </w:r>
      <w:r>
        <w:rPr>
          <w:rFonts w:ascii="宋体" w:hAnsi="宋体" w:eastAsia="宋体" w:cs="宋体"/>
          <w:color w:val="000000"/>
          <w:sz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lang w:eastAsia="zh-CN"/>
        </w:rPr>
        <w:t>（三）</w:t>
      </w:r>
      <w:r>
        <w:rPr>
          <w:rFonts w:ascii="宋体" w:hAnsi="宋体" w:eastAsia="宋体" w:cs="宋体"/>
          <w:b/>
          <w:bCs/>
          <w:color w:val="000000"/>
          <w:sz w:val="21"/>
        </w:rPr>
        <w:t>报</w:t>
      </w:r>
      <w:r>
        <w:rPr>
          <w:rFonts w:ascii="宋体" w:hAnsi="宋体" w:eastAsia="宋体" w:cs="宋体"/>
          <w:b/>
          <w:color w:val="000000"/>
          <w:sz w:val="21"/>
        </w:rPr>
        <w:t>告期末</w:t>
      </w:r>
      <w:r>
        <w:rPr>
          <w:rFonts w:hint="eastAsia" w:ascii="宋体" w:hAnsi="宋体" w:eastAsia="宋体" w:cs="宋体"/>
          <w:b/>
          <w:color w:val="000000"/>
          <w:sz w:val="21"/>
          <w:lang w:eastAsia="zh-CN"/>
        </w:rPr>
        <w:t>底层</w:t>
      </w:r>
      <w:r>
        <w:rPr>
          <w:rFonts w:ascii="宋体" w:hAnsi="宋体" w:eastAsia="宋体" w:cs="宋体"/>
          <w:b/>
          <w:color w:val="000000"/>
          <w:sz w:val="21"/>
        </w:rPr>
        <w:t>资产持仓信息</w:t>
      </w:r>
    </w:p>
    <w:tbl>
      <w:tblPr>
        <w:tblStyle w:val="3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2786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债券类型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val="en-US" w:eastAsia="zh-CN"/>
              </w:rPr>
              <w:t>市值余额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商业性金融债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114,768,057.77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86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企业债券</w:t>
            </w:r>
          </w:p>
        </w:tc>
        <w:tc>
          <w:tcPr>
            <w:tcW w:w="2788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12,257,951.17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债券买入返售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15,890,679.91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现金及银行存款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21,403,413.28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合计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vertAlign w:val="baseline"/>
              </w:rPr>
            </w:pP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164,320,102.13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27" w:leftChars="0" w:firstLine="0" w:firstLine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1"/>
          <w:sz w:val="21"/>
          <w:szCs w:val="21"/>
        </w:rPr>
        <w:t>投资组合流动性分析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4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  <w:highlight w:val="none"/>
        </w:rPr>
        <w:t>截至 202</w:t>
      </w:r>
      <w:r>
        <w:rPr>
          <w:rFonts w:hint="eastAsia" w:ascii="宋体" w:hAnsi="宋体" w:eastAsia="宋体" w:cs="宋体"/>
          <w:spacing w:val="-4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-4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spacing w:val="-4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pacing w:val="-4"/>
          <w:sz w:val="21"/>
          <w:szCs w:val="21"/>
          <w:highlight w:val="none"/>
        </w:rPr>
        <w:t>月31日</w:t>
      </w:r>
      <w:r>
        <w:rPr>
          <w:rFonts w:hint="eastAsia" w:ascii="宋体" w:hAnsi="宋体" w:eastAsia="宋体" w:cs="宋体"/>
          <w:spacing w:val="-4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本产品持有的现金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或到期日在一年以内的国债</w:t>
      </w:r>
      <w:r>
        <w:rPr>
          <w:rFonts w:hint="eastAsia" w:ascii="宋体" w:hAnsi="宋体" w:eastAsia="宋体" w:cs="宋体"/>
          <w:spacing w:val="-5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中央银行票据和政策性金融债券市值余额占净值比</w:t>
      </w:r>
      <w:r>
        <w:rPr>
          <w:rFonts w:hint="eastAsia" w:ascii="宋体" w:hAnsi="宋体" w:eastAsia="宋体" w:cs="宋体"/>
          <w:spacing w:val="-2"/>
          <w:sz w:val="21"/>
          <w:szCs w:val="21"/>
          <w:highlight w:val="none"/>
          <w:lang w:val="en-US" w:eastAsia="zh-CN"/>
        </w:rPr>
        <w:t>13.06</w:t>
      </w:r>
      <w:r>
        <w:rPr>
          <w:rFonts w:hint="eastAsia" w:ascii="宋体" w:hAnsi="宋体" w:eastAsia="宋体" w:cs="宋体"/>
          <w:spacing w:val="-2"/>
          <w:sz w:val="21"/>
          <w:szCs w:val="21"/>
          <w:highlight w:val="none"/>
        </w:rPr>
        <w:t>%；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本产品通过合理安排投资品种和期限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结构、限制资产持仓集中度、监控组合资金头寸等方式管理产品的流动性风险，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确保资产的变现能力与投资者赎回需求的匹配。本理财产品将严格遵守相关法律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法规和产品合同，密切跟踪经济基本面、政策面、资金面等情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形，做好产品的流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动性管理。本报告期内，本产品未发生流动性风险。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b/>
          <w:color w:val="000000"/>
          <w:sz w:val="21"/>
        </w:rPr>
      </w:pPr>
    </w:p>
    <w:p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六、理财托管</w:t>
      </w:r>
      <w:r>
        <w:rPr>
          <w:rFonts w:ascii="宋体" w:hAnsi="宋体" w:eastAsia="宋体" w:cs="宋体"/>
          <w:b/>
          <w:color w:val="000000"/>
          <w:sz w:val="24"/>
        </w:rPr>
        <w:t>机构</w:t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报告</w:t>
      </w: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numPr>
          <w:ilvl w:val="0"/>
          <w:numId w:val="0"/>
        </w:numPr>
        <w:ind w:leftChars="200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机构类别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  <w:t>托管机构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招商银行股份有限公司天津分行</w:t>
            </w:r>
          </w:p>
        </w:tc>
      </w:tr>
    </w:tbl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报告期内，</w:t>
      </w:r>
      <w:r>
        <w:rPr>
          <w:rFonts w:ascii="宋体" w:hAnsi="宋体" w:eastAsia="宋体" w:cs="宋体"/>
          <w:sz w:val="21"/>
          <w:szCs w:val="21"/>
        </w:rPr>
        <w:t>招商银行具备完善的公司治理结构、内部稽核监控制度和风险控制制度，在对信合同利净值型系列理财产品托管的过程中，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严格</w:t>
      </w:r>
      <w:r>
        <w:rPr>
          <w:rFonts w:ascii="宋体" w:hAnsi="宋体" w:eastAsia="宋体" w:cs="宋体"/>
          <w:sz w:val="21"/>
          <w:szCs w:val="21"/>
        </w:rPr>
        <w:t>遵守有关法律法规、托管协议的规定，尽职尽责地履行托管义务并安全保管托管资产。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>本</w:t>
      </w:r>
      <w:r>
        <w:rPr>
          <w:rFonts w:ascii="宋体" w:hAnsi="宋体" w:eastAsia="宋体" w:cs="宋体"/>
          <w:color w:val="000000"/>
          <w:sz w:val="21"/>
        </w:rPr>
        <w:t>托管人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对估值机构在本理财</w:t>
      </w:r>
      <w:r>
        <w:rPr>
          <w:rFonts w:ascii="宋体" w:hAnsi="宋体" w:eastAsia="宋体" w:cs="宋体"/>
          <w:color w:val="000000"/>
          <w:sz w:val="21"/>
        </w:rPr>
        <w:t>报告中的净值表现、投资组合等内容进行了必要的监督、复核和审查，认为其真实、准确和完整，不存在虚假记载、误导性陈述或者重大遗漏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的情形</w:t>
      </w:r>
      <w:r>
        <w:rPr>
          <w:rFonts w:ascii="宋体" w:hAnsi="宋体" w:eastAsia="宋体" w:cs="宋体"/>
          <w:color w:val="000000"/>
          <w:sz w:val="21"/>
        </w:rPr>
        <w:t>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七、理财外包</w:t>
      </w:r>
      <w:r>
        <w:rPr>
          <w:rFonts w:ascii="宋体" w:hAnsi="宋体" w:eastAsia="宋体" w:cs="宋体"/>
          <w:b/>
          <w:color w:val="000000"/>
          <w:sz w:val="24"/>
        </w:rPr>
        <w:t>机构</w:t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报告</w:t>
      </w:r>
      <w:r>
        <w:rPr>
          <w:rFonts w:ascii="宋体" w:hAnsi="宋体" w:eastAsia="宋体" w:cs="宋体"/>
          <w:color w:val="000000"/>
          <w:sz w:val="21"/>
        </w:rPr>
        <w:t xml:space="preserve">  </w:t>
      </w:r>
    </w:p>
    <w:p>
      <w:pPr>
        <w:numPr>
          <w:ilvl w:val="0"/>
          <w:numId w:val="0"/>
        </w:numPr>
        <w:ind w:leftChars="200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机构类别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  <w:t>估值机构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中信建投证券股份有限公司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>报告期内，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中信建投</w:t>
      </w:r>
      <w:r>
        <w:rPr>
          <w:rFonts w:ascii="宋体" w:hAnsi="宋体" w:eastAsia="宋体" w:cs="宋体"/>
          <w:color w:val="000000"/>
          <w:sz w:val="21"/>
        </w:rPr>
        <w:t>严格遵守《商业银行理财业务监督管理办法》及相关法律法规规定、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估值</w:t>
      </w:r>
      <w:r>
        <w:rPr>
          <w:rFonts w:ascii="宋体" w:hAnsi="宋体" w:eastAsia="宋体" w:cs="宋体"/>
          <w:color w:val="000000"/>
          <w:sz w:val="21"/>
        </w:rPr>
        <w:t>协议约定，诚实信用、谨慎勤勉地履行了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估值机构</w:t>
      </w:r>
      <w:r>
        <w:rPr>
          <w:rFonts w:ascii="宋体" w:hAnsi="宋体" w:eastAsia="宋体" w:cs="宋体"/>
          <w:color w:val="000000"/>
          <w:sz w:val="21"/>
        </w:rPr>
        <w:t>义务，不存在损害理财产品投资者利益的行为。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0"/>
        </w:numPr>
        <w:ind w:leftChars="200"/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八、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产品关联方交易情况</w:t>
      </w:r>
    </w:p>
    <w:p>
      <w:pPr>
        <w:numPr>
          <w:ilvl w:val="0"/>
          <w:numId w:val="0"/>
        </w:numPr>
        <w:ind w:firstLine="408" w:firstLineChars="20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本报告期内，产品不涉及关联方交易，不适用。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="宋体" w:hAnsi="宋体" w:eastAsia="宋体" w:cs="宋体"/>
          <w:b w:val="0"/>
          <w:bCs/>
          <w:color w:val="000000"/>
          <w:sz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lang w:eastAsia="zh-CN"/>
        </w:rPr>
        <w:t>大兴安岭农村商业银行股份有限公司</w:t>
      </w:r>
    </w:p>
    <w:p>
      <w:pPr>
        <w:numPr>
          <w:ilvl w:val="0"/>
          <w:numId w:val="0"/>
        </w:numPr>
        <w:ind w:leftChars="0"/>
        <w:jc w:val="right"/>
        <w:rPr>
          <w:rFonts w:hint="eastAsia" w:ascii="宋体" w:hAnsi="宋体" w:eastAsia="宋体" w:cs="宋体"/>
          <w:b/>
          <w:color w:val="000000"/>
          <w:sz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lang w:val="en-US" w:eastAsia="zh-CN"/>
        </w:rPr>
        <w:t>二〇二六年四月一日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BE5BF"/>
    <w:multiLevelType w:val="singleLevel"/>
    <w:tmpl w:val="822BE5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7FFF09D"/>
    <w:multiLevelType w:val="singleLevel"/>
    <w:tmpl w:val="B7FFF0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CB521E9"/>
    <w:multiLevelType w:val="singleLevel"/>
    <w:tmpl w:val="DCB521E9"/>
    <w:lvl w:ilvl="0" w:tentative="0">
      <w:start w:val="4"/>
      <w:numFmt w:val="chineseCounting"/>
      <w:suff w:val="nothing"/>
      <w:lvlText w:val="（%1）"/>
      <w:lvlJc w:val="left"/>
      <w:pPr>
        <w:ind w:left="527" w:leftChars="0" w:firstLine="0" w:firstLineChars="0"/>
      </w:pPr>
      <w:rPr>
        <w:rFonts w:hint="eastAsia"/>
        <w:b/>
        <w:bCs/>
      </w:rPr>
    </w:lvl>
  </w:abstractNum>
  <w:abstractNum w:abstractNumId="3">
    <w:nsid w:val="462A955A"/>
    <w:multiLevelType w:val="singleLevel"/>
    <w:tmpl w:val="462A955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41E2EA1"/>
    <w:multiLevelType w:val="singleLevel"/>
    <w:tmpl w:val="741E2E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1559E"/>
    <w:rsid w:val="04C156F9"/>
    <w:rsid w:val="0B4774FA"/>
    <w:rsid w:val="0C9F6573"/>
    <w:rsid w:val="102F3F6C"/>
    <w:rsid w:val="13806CAB"/>
    <w:rsid w:val="14A33894"/>
    <w:rsid w:val="1CEC0D44"/>
    <w:rsid w:val="1E882A4F"/>
    <w:rsid w:val="20C67C09"/>
    <w:rsid w:val="22CC5F70"/>
    <w:rsid w:val="249D344A"/>
    <w:rsid w:val="25163C2D"/>
    <w:rsid w:val="26C6199B"/>
    <w:rsid w:val="2B1D6C23"/>
    <w:rsid w:val="2B9E5991"/>
    <w:rsid w:val="2C155412"/>
    <w:rsid w:val="2C937FF9"/>
    <w:rsid w:val="32034210"/>
    <w:rsid w:val="33DE76B3"/>
    <w:rsid w:val="39191AA1"/>
    <w:rsid w:val="3C196B64"/>
    <w:rsid w:val="3C74570A"/>
    <w:rsid w:val="40121469"/>
    <w:rsid w:val="43C8512D"/>
    <w:rsid w:val="45763C08"/>
    <w:rsid w:val="47FD4EBB"/>
    <w:rsid w:val="484E54F7"/>
    <w:rsid w:val="4A6326D5"/>
    <w:rsid w:val="4C084305"/>
    <w:rsid w:val="4E216721"/>
    <w:rsid w:val="4F6E37B7"/>
    <w:rsid w:val="52BE1AA7"/>
    <w:rsid w:val="53872689"/>
    <w:rsid w:val="55241018"/>
    <w:rsid w:val="58487FAA"/>
    <w:rsid w:val="58924284"/>
    <w:rsid w:val="5E3D1436"/>
    <w:rsid w:val="5E85286B"/>
    <w:rsid w:val="614C57F6"/>
    <w:rsid w:val="653369B9"/>
    <w:rsid w:val="66343FF9"/>
    <w:rsid w:val="66EE7975"/>
    <w:rsid w:val="6AB97CA4"/>
    <w:rsid w:val="6D9C1477"/>
    <w:rsid w:val="72155AED"/>
    <w:rsid w:val="791F1BA1"/>
    <w:rsid w:val="7C8E16A7"/>
    <w:rsid w:val="7CF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2023-01-10T01:21:00Z</dcterms:created>
  <dc:creator>江宇</dc:creator>
  <cp:lastModifiedBy>江宇</cp:lastModifiedBy>
  <dcterms:modified xsi:type="dcterms:W3CDTF">2026-04-09T08:03:55Z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2052-11.8.2.12334</vt:lpwstr>
  </property>
  <property fmtid="{D5CDD505-2E9C-101B-9397-08002B2CF9AE}" pid="3" name="ICV">
    <vt:lpwstr>AD7D5CBDC7ED4280B0590D48D7AB7202</vt:lpwstr>
  </property>
</Properties>
</file>