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 w:line="217" w:lineRule="auto"/>
        <w:jc w:val="center"/>
        <w:outlineLvl w:val="0"/>
        <w:rPr>
          <w:b/>
          <w:bCs/>
          <w:spacing w:val="-4"/>
        </w:rPr>
      </w:pPr>
      <w:bookmarkStart w:id="0" w:name="_GoBack"/>
      <w:bookmarkEnd w:id="0"/>
      <w:r>
        <w:rPr>
          <w:b/>
          <w:bCs/>
          <w:spacing w:val="-4"/>
        </w:rPr>
        <w:t>大兴安岭农村商业银行股份有限公司</w:t>
      </w:r>
    </w:p>
    <w:p>
      <w:pPr>
        <w:pStyle w:val="2"/>
        <w:spacing w:before="48" w:line="217" w:lineRule="auto"/>
        <w:jc w:val="center"/>
        <w:outlineLvl w:val="0"/>
      </w:pPr>
      <w:r>
        <w:rPr>
          <w:b/>
          <w:bCs/>
          <w:spacing w:val="-4"/>
        </w:rPr>
        <w:t>信合同利净值型系列2025年14期B款理财产品到期公告</w:t>
      </w:r>
    </w:p>
    <w:p>
      <w:pPr>
        <w:spacing w:line="246" w:lineRule="auto"/>
        <w:rPr>
          <w:rFonts w:ascii="Arial"/>
          <w:sz w:val="21"/>
        </w:rPr>
      </w:pPr>
    </w:p>
    <w:p>
      <w:pPr>
        <w:spacing w:line="247" w:lineRule="auto"/>
        <w:rPr>
          <w:rFonts w:ascii="Arial"/>
          <w:sz w:val="21"/>
        </w:rPr>
      </w:pPr>
    </w:p>
    <w:p>
      <w:pPr>
        <w:pStyle w:val="2"/>
        <w:spacing w:before="78" w:line="220" w:lineRule="auto"/>
        <w:ind w:left="124"/>
      </w:pPr>
      <w:r>
        <w:rPr>
          <w:spacing w:val="-10"/>
        </w:rPr>
        <w:t>尊敬的客户：</w:t>
      </w:r>
    </w:p>
    <w:p>
      <w:pPr>
        <w:pStyle w:val="2"/>
        <w:spacing w:before="182" w:line="315" w:lineRule="auto"/>
        <w:ind w:left="124" w:right="173" w:firstLine="479"/>
      </w:pPr>
      <w:r>
        <w:rPr>
          <w:spacing w:val="-3"/>
        </w:rPr>
        <w:t>大兴安岭农村商业银行股份有限公司信合同利净值型系列2025年14期B款理财产品将于</w:t>
      </w:r>
      <w:r>
        <w:rPr>
          <w:spacing w:val="-9"/>
        </w:rPr>
        <w:t>2026年04月23日到期，具体情况如下：</w:t>
      </w:r>
    </w:p>
    <w:tbl>
      <w:tblPr>
        <w:tblStyle w:val="5"/>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4"/>
        <w:gridCol w:w="5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954" w:type="dxa"/>
            <w:vAlign w:val="top"/>
          </w:tcPr>
          <w:p>
            <w:pPr>
              <w:pStyle w:val="6"/>
              <w:spacing w:before="116" w:line="219" w:lineRule="auto"/>
              <w:ind w:left="112"/>
            </w:pPr>
            <w:r>
              <w:rPr>
                <w:spacing w:val="-2"/>
              </w:rPr>
              <w:t>产品名称</w:t>
            </w:r>
          </w:p>
        </w:tc>
        <w:tc>
          <w:tcPr>
            <w:tcW w:w="5568" w:type="dxa"/>
            <w:vAlign w:val="top"/>
          </w:tcPr>
          <w:p>
            <w:pPr>
              <w:pStyle w:val="6"/>
              <w:spacing w:before="116" w:line="313" w:lineRule="auto"/>
              <w:ind w:left="114" w:right="103" w:hanging="3"/>
            </w:pPr>
            <w:r>
              <w:rPr>
                <w:rFonts w:hint="eastAsia"/>
                <w:lang w:val="en-US" w:eastAsia="zh-CN"/>
              </w:rPr>
              <w:t>信合同利净值型系列2025年14期B款理财产品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2" w:line="219" w:lineRule="auto"/>
              <w:ind w:left="112"/>
            </w:pPr>
            <w:r>
              <w:rPr>
                <w:spacing w:val="-2"/>
              </w:rPr>
              <w:t>产品代码</w:t>
            </w:r>
          </w:p>
        </w:tc>
        <w:tc>
          <w:tcPr>
            <w:tcW w:w="5568" w:type="dxa"/>
            <w:vAlign w:val="top"/>
          </w:tcPr>
          <w:p>
            <w:pPr>
              <w:pStyle w:val="6"/>
              <w:spacing w:before="152" w:line="181" w:lineRule="auto"/>
              <w:ind w:left="113"/>
            </w:pPr>
            <w:r>
              <w:rPr>
                <w:rFonts w:hint="eastAsia"/>
                <w:lang w:val="en-US" w:eastAsia="zh-CN"/>
              </w:rPr>
              <w:t>899992025014364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3" w:line="219" w:lineRule="auto"/>
              <w:ind w:left="112"/>
            </w:pPr>
            <w:r>
              <w:rPr>
                <w:spacing w:val="-2"/>
              </w:rPr>
              <w:t>产品起始日期</w:t>
            </w:r>
          </w:p>
        </w:tc>
        <w:tc>
          <w:tcPr>
            <w:tcW w:w="5568" w:type="dxa"/>
            <w:vAlign w:val="top"/>
          </w:tcPr>
          <w:p>
            <w:pPr>
              <w:pStyle w:val="6"/>
              <w:spacing w:before="113" w:line="219" w:lineRule="auto"/>
              <w:ind w:left="113"/>
            </w:pPr>
            <w:r>
              <w:rPr>
                <w:rFonts w:hint="eastAsia"/>
                <w:spacing w:val="-3"/>
                <w:highlight w:val="none"/>
                <w:lang w:val="en-US" w:eastAsia="zh-CN"/>
              </w:rPr>
              <w:t>2025年04月24日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3" w:line="219" w:lineRule="auto"/>
              <w:ind w:left="112"/>
            </w:pPr>
            <w:r>
              <w:rPr>
                <w:spacing w:val="-2"/>
              </w:rPr>
              <w:t>产品</w:t>
            </w:r>
            <w:r>
              <w:rPr>
                <w:rFonts w:hint="eastAsia"/>
                <w:spacing w:val="-2"/>
                <w:lang w:val="en-US" w:eastAsia="zh-CN"/>
              </w:rPr>
              <w:t>到期</w:t>
            </w:r>
            <w:r>
              <w:rPr>
                <w:spacing w:val="-2"/>
              </w:rPr>
              <w:t>日期</w:t>
            </w:r>
          </w:p>
        </w:tc>
        <w:tc>
          <w:tcPr>
            <w:tcW w:w="5568" w:type="dxa"/>
            <w:vAlign w:val="top"/>
          </w:tcPr>
          <w:p>
            <w:pPr>
              <w:pStyle w:val="6"/>
              <w:spacing w:before="113" w:line="219" w:lineRule="auto"/>
              <w:ind w:left="113"/>
            </w:pPr>
            <w:r>
              <w:rPr>
                <w:rFonts w:hint="eastAsia"/>
                <w:lang w:val="en-US" w:eastAsia="zh-CN"/>
              </w:rPr>
              <w:t>2026年04月23日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2954" w:type="dxa"/>
            <w:vAlign w:val="top"/>
          </w:tcPr>
          <w:p>
            <w:pPr>
              <w:pStyle w:val="6"/>
              <w:spacing w:before="113" w:line="219" w:lineRule="auto"/>
              <w:ind w:left="112"/>
              <w:rPr>
                <w:rFonts w:hint="default" w:eastAsia="宋体"/>
                <w:spacing w:val="-2"/>
                <w:lang w:val="en-US" w:eastAsia="zh-CN"/>
              </w:rPr>
            </w:pPr>
            <w:r>
              <w:rPr>
                <w:rFonts w:hint="eastAsia"/>
                <w:spacing w:val="-2"/>
                <w:lang w:val="en-US" w:eastAsia="zh-CN"/>
              </w:rPr>
              <w:t>资金到账日</w:t>
            </w:r>
          </w:p>
        </w:tc>
        <w:tc>
          <w:tcPr>
            <w:tcW w:w="5568" w:type="dxa"/>
            <w:vAlign w:val="top"/>
          </w:tcPr>
          <w:p>
            <w:pPr>
              <w:pStyle w:val="6"/>
              <w:spacing w:before="113" w:line="219" w:lineRule="auto"/>
              <w:ind w:left="113"/>
              <w:rPr>
                <w:rFonts w:hint="default"/>
                <w:lang w:val="en-US" w:eastAsia="zh-CN"/>
              </w:rPr>
            </w:pPr>
            <w:r>
              <w:rPr>
                <w:rFonts w:hint="eastAsia"/>
                <w:lang w:val="en-US" w:eastAsia="zh-CN"/>
              </w:rPr>
              <w:t>2026年04月24日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4" w:line="219" w:lineRule="auto"/>
              <w:ind w:left="112"/>
            </w:pPr>
            <w:r>
              <w:rPr>
                <w:spacing w:val="-2"/>
              </w:rPr>
              <w:t>产品存续天数</w:t>
            </w:r>
          </w:p>
        </w:tc>
        <w:tc>
          <w:tcPr>
            <w:tcW w:w="5568" w:type="dxa"/>
            <w:vAlign w:val="top"/>
          </w:tcPr>
          <w:p>
            <w:pPr>
              <w:pStyle w:val="6"/>
              <w:tabs>
                <w:tab w:val="left" w:pos="1075"/>
              </w:tabs>
              <w:spacing w:before="154" w:line="181" w:lineRule="auto"/>
              <w:ind w:left="112" w:leftChars="0"/>
            </w:pPr>
            <w:r>
              <w:rPr>
                <w:rFonts w:hint="eastAsia"/>
                <w:spacing w:val="-3"/>
                <w:highlight w:val="none"/>
                <w:lang w:val="en-US" w:eastAsia="zh-CN"/>
              </w:rPr>
              <w:t>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5" w:line="219" w:lineRule="auto"/>
              <w:ind w:left="112"/>
            </w:pPr>
            <w:r>
              <w:rPr>
                <w:spacing w:val="-2"/>
              </w:rPr>
              <w:t>产品到期单位净值</w:t>
            </w:r>
          </w:p>
        </w:tc>
        <w:tc>
          <w:tcPr>
            <w:tcW w:w="5568" w:type="dxa"/>
            <w:vAlign w:val="top"/>
          </w:tcPr>
          <w:p>
            <w:pPr>
              <w:pStyle w:val="6"/>
              <w:spacing w:before="154" w:line="182" w:lineRule="auto"/>
              <w:ind w:left="128" w:leftChars="0"/>
            </w:pPr>
            <w:r>
              <w:rPr>
                <w:rFonts w:hint="eastAsia"/>
                <w:spacing w:val="-3"/>
                <w:highlight w:val="none"/>
                <w:lang w:val="en-US" w:eastAsia="zh-CN"/>
              </w:rPr>
              <w:t>1.0268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5" w:line="219" w:lineRule="auto"/>
              <w:ind w:left="112"/>
            </w:pPr>
            <w:r>
              <w:rPr>
                <w:spacing w:val="-2"/>
              </w:rPr>
              <w:t>产品到期累计净值</w:t>
            </w:r>
          </w:p>
        </w:tc>
        <w:tc>
          <w:tcPr>
            <w:tcW w:w="5568" w:type="dxa"/>
            <w:vAlign w:val="top"/>
          </w:tcPr>
          <w:p>
            <w:pPr>
              <w:pStyle w:val="6"/>
              <w:spacing w:before="154" w:line="182" w:lineRule="auto"/>
              <w:ind w:left="128" w:leftChars="0"/>
            </w:pPr>
            <w:r>
              <w:rPr>
                <w:rFonts w:hint="eastAsia"/>
                <w:spacing w:val="-3"/>
                <w:highlight w:val="none"/>
                <w:lang w:val="en-US" w:eastAsia="zh-CN"/>
              </w:rPr>
              <w:t>1.0268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16" w:line="220" w:lineRule="auto"/>
              <w:ind w:left="111"/>
            </w:pPr>
            <w:r>
              <w:rPr>
                <w:spacing w:val="-2"/>
              </w:rPr>
              <w:t>业绩比较基准</w:t>
            </w:r>
          </w:p>
        </w:tc>
        <w:tc>
          <w:tcPr>
            <w:tcW w:w="5568" w:type="dxa"/>
            <w:vAlign w:val="top"/>
          </w:tcPr>
          <w:p>
            <w:pPr>
              <w:pStyle w:val="6"/>
              <w:spacing w:before="156" w:line="181" w:lineRule="auto"/>
              <w:ind w:left="109" w:leftChars="0"/>
            </w:pPr>
            <w:r>
              <w:rPr>
                <w:rFonts w:hint="eastAsia"/>
                <w:spacing w:val="-3"/>
                <w:highlight w:val="none"/>
                <w:lang w:val="en-US" w:eastAsia="zh-CN"/>
              </w:rPr>
              <w:t>2.60</w:t>
            </w:r>
            <w:r>
              <w:rPr>
                <w:spacing w:val="-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6" w:line="219" w:lineRule="auto"/>
              <w:ind w:left="133"/>
            </w:pPr>
            <w:r>
              <w:rPr>
                <w:spacing w:val="-5"/>
              </w:rPr>
              <w:t>固定管理费率</w:t>
            </w:r>
          </w:p>
        </w:tc>
        <w:tc>
          <w:tcPr>
            <w:tcW w:w="5568" w:type="dxa"/>
            <w:vAlign w:val="top"/>
          </w:tcPr>
          <w:p>
            <w:pPr>
              <w:pStyle w:val="6"/>
              <w:spacing w:before="156" w:line="181" w:lineRule="auto"/>
              <w:ind w:left="112" w:leftChars="0"/>
            </w:pPr>
            <w:r>
              <w:rPr>
                <w:rFonts w:hint="eastAsia"/>
                <w:spacing w:val="-3"/>
                <w:highlight w:val="none"/>
                <w:lang w:val="en-US" w:eastAsia="zh-CN"/>
              </w:rPr>
              <w:t>0.30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pPr>
            <w:r>
              <w:rPr>
                <w:spacing w:val="-2"/>
              </w:rPr>
              <w:t>销售服务费率</w:t>
            </w:r>
          </w:p>
        </w:tc>
        <w:tc>
          <w:tcPr>
            <w:tcW w:w="5568" w:type="dxa"/>
            <w:vAlign w:val="top"/>
          </w:tcPr>
          <w:p>
            <w:pPr>
              <w:pStyle w:val="6"/>
              <w:spacing w:before="157" w:line="181" w:lineRule="auto"/>
              <w:ind w:left="112" w:leftChars="0"/>
            </w:pPr>
            <w:r>
              <w:rPr>
                <w:rFonts w:hint="eastAsia"/>
                <w:spacing w:val="-3"/>
                <w:highlight w:val="none"/>
                <w:lang w:val="en-US" w:eastAsia="zh-CN"/>
              </w:rPr>
              <w:t>0.15</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7" w:line="219" w:lineRule="auto"/>
              <w:ind w:left="113"/>
              <w:rPr>
                <w:rFonts w:hint="default" w:eastAsia="宋体"/>
                <w:spacing w:val="-2"/>
                <w:lang w:val="en-US" w:eastAsia="zh-CN"/>
              </w:rPr>
            </w:pPr>
            <w:r>
              <w:rPr>
                <w:rFonts w:hint="eastAsia"/>
                <w:spacing w:val="-2"/>
                <w:lang w:val="en-US" w:eastAsia="zh-CN"/>
              </w:rPr>
              <w:t>估值服务费率</w:t>
            </w:r>
          </w:p>
        </w:tc>
        <w:tc>
          <w:tcPr>
            <w:tcW w:w="5568" w:type="dxa"/>
            <w:vAlign w:val="top"/>
          </w:tcPr>
          <w:p>
            <w:pPr>
              <w:pStyle w:val="6"/>
              <w:spacing w:before="157" w:line="181" w:lineRule="auto"/>
              <w:ind w:left="112" w:leftChars="0"/>
              <w:rPr>
                <w:rFonts w:hint="default"/>
                <w:spacing w:val="-3"/>
                <w:highlight w:val="none"/>
                <w:lang w:val="en-US" w:eastAsia="zh-CN"/>
              </w:rPr>
            </w:pPr>
            <w:r>
              <w:rPr>
                <w:rFonts w:hint="eastAsia"/>
                <w:spacing w:val="-3"/>
                <w:highlight w:val="none"/>
                <w:lang w:val="en-US" w:eastAsia="zh-CN"/>
              </w:rPr>
              <w:t>0.005%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8" w:line="219" w:lineRule="auto"/>
              <w:ind w:left="114"/>
            </w:pPr>
            <w:r>
              <w:rPr>
                <w:spacing w:val="-2"/>
              </w:rPr>
              <w:t>浮动管理费计提比例</w:t>
            </w:r>
          </w:p>
        </w:tc>
        <w:tc>
          <w:tcPr>
            <w:tcW w:w="5568" w:type="dxa"/>
            <w:vAlign w:val="top"/>
          </w:tcPr>
          <w:p>
            <w:pPr>
              <w:pStyle w:val="6"/>
              <w:spacing w:before="158" w:line="181" w:lineRule="auto"/>
              <w:ind w:left="111" w:leftChars="0"/>
            </w:pPr>
            <w:r>
              <w:rPr>
                <w:rFonts w:hint="eastAsia"/>
                <w:spacing w:val="-3"/>
                <w:highlight w:val="none"/>
                <w:lang w:val="en-US" w:eastAsia="zh-CN"/>
              </w:rPr>
              <w:t>70.00</w:t>
            </w:r>
            <w:r>
              <w:rPr>
                <w:spacing w:val="-3"/>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19" w:line="219" w:lineRule="auto"/>
              <w:ind w:left="114"/>
            </w:pPr>
            <w:r>
              <w:rPr>
                <w:spacing w:val="-3"/>
              </w:rPr>
              <w:t>托管费率</w:t>
            </w:r>
          </w:p>
        </w:tc>
        <w:tc>
          <w:tcPr>
            <w:tcW w:w="5568" w:type="dxa"/>
            <w:vAlign w:val="top"/>
          </w:tcPr>
          <w:p>
            <w:pPr>
              <w:pStyle w:val="6"/>
              <w:spacing w:before="158" w:line="182" w:lineRule="auto"/>
              <w:ind w:left="112"/>
            </w:pPr>
            <w:r>
              <w:rPr>
                <w:rFonts w:hint="eastAsia"/>
                <w:spacing w:val="-2"/>
                <w:lang w:val="en-US" w:eastAsia="zh-CN"/>
              </w:rPr>
              <w:t>0.005</w:t>
            </w:r>
            <w:r>
              <w:rPr>
                <w:spacing w:val="-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954" w:type="dxa"/>
            <w:vAlign w:val="top"/>
          </w:tcPr>
          <w:p>
            <w:pPr>
              <w:pStyle w:val="6"/>
              <w:spacing w:before="120" w:line="219" w:lineRule="auto"/>
              <w:ind w:left="111"/>
            </w:pPr>
            <w:r>
              <w:rPr>
                <w:spacing w:val="-1"/>
              </w:rPr>
              <w:t>投资者实际年化收益率</w:t>
            </w:r>
          </w:p>
        </w:tc>
        <w:tc>
          <w:tcPr>
            <w:tcW w:w="5568" w:type="dxa"/>
            <w:vAlign w:val="top"/>
          </w:tcPr>
          <w:p>
            <w:pPr>
              <w:pStyle w:val="6"/>
              <w:spacing w:before="160" w:line="181" w:lineRule="auto"/>
              <w:ind w:left="109"/>
            </w:pPr>
            <w:r>
              <w:rPr>
                <w:rFonts w:hint="eastAsia"/>
                <w:spacing w:val="-1"/>
              </w:rPr>
              <w:t>2.63</w:t>
            </w:r>
            <w:r>
              <w:rPr>
                <w:spacing w:val="-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pPr>
            <w:r>
              <w:rPr>
                <w:spacing w:val="-3"/>
              </w:rPr>
              <w:t>收益分配情况</w:t>
            </w:r>
          </w:p>
        </w:tc>
        <w:tc>
          <w:tcPr>
            <w:tcW w:w="5568" w:type="dxa"/>
            <w:vAlign w:val="top"/>
          </w:tcPr>
          <w:p>
            <w:pPr>
              <w:pStyle w:val="6"/>
              <w:spacing w:before="159" w:line="182" w:lineRule="auto"/>
              <w:ind w:left="113"/>
              <w:rPr>
                <w:rFonts w:hint="eastAsia" w:eastAsia="宋体"/>
                <w:lang w:val="en-US" w:eastAsia="zh-CN"/>
              </w:rPr>
            </w:pPr>
            <w:r>
              <w:rPr>
                <w:rFonts w:hint="eastAsia"/>
              </w:rPr>
              <w:t>269,758.41</w:t>
            </w:r>
            <w:r>
              <w:rPr>
                <w:rFonts w:hint="eastAsia"/>
                <w:lang w:val="en-US"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产品份额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10,300,000.00份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54" w:type="dxa"/>
            <w:vAlign w:val="top"/>
          </w:tcPr>
          <w:p>
            <w:pPr>
              <w:pStyle w:val="6"/>
              <w:spacing w:before="121" w:line="219" w:lineRule="auto"/>
              <w:ind w:left="119"/>
              <w:rPr>
                <w:rFonts w:hint="default" w:eastAsia="宋体"/>
                <w:spacing w:val="-3"/>
                <w:lang w:val="en-US" w:eastAsia="zh-CN"/>
              </w:rPr>
            </w:pPr>
            <w:r>
              <w:rPr>
                <w:rFonts w:hint="eastAsia"/>
                <w:spacing w:val="-3"/>
                <w:lang w:val="en-US" w:eastAsia="zh-CN"/>
              </w:rPr>
              <w:t>到期返回总金额</w:t>
            </w:r>
          </w:p>
        </w:tc>
        <w:tc>
          <w:tcPr>
            <w:tcW w:w="5568" w:type="dxa"/>
            <w:vAlign w:val="top"/>
          </w:tcPr>
          <w:p>
            <w:pPr>
              <w:pStyle w:val="6"/>
              <w:spacing w:before="159" w:line="182" w:lineRule="auto"/>
              <w:ind w:left="113"/>
              <w:rPr>
                <w:rFonts w:hint="default" w:eastAsia="宋体"/>
                <w:lang w:val="en-US" w:eastAsia="zh-CN"/>
              </w:rPr>
            </w:pPr>
            <w:r>
              <w:rPr>
                <w:rFonts w:hint="eastAsia"/>
                <w:lang w:val="en-US" w:eastAsia="zh-CN"/>
              </w:rPr>
              <w:t>10,569,758.41元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2954" w:type="dxa"/>
            <w:vAlign w:val="top"/>
          </w:tcPr>
          <w:p>
            <w:pPr>
              <w:pStyle w:val="6"/>
              <w:spacing w:before="121" w:line="219" w:lineRule="auto"/>
              <w:ind w:left="111"/>
            </w:pPr>
            <w:r>
              <w:rPr>
                <w:spacing w:val="-2"/>
              </w:rPr>
              <w:t>费用总额</w:t>
            </w:r>
          </w:p>
        </w:tc>
        <w:tc>
          <w:tcPr>
            <w:tcW w:w="5568" w:type="dxa"/>
            <w:vAlign w:val="top"/>
          </w:tcPr>
          <w:p>
            <w:pPr>
              <w:pStyle w:val="6"/>
              <w:spacing w:before="121" w:line="220" w:lineRule="auto"/>
              <w:ind w:left="112"/>
            </w:pPr>
            <w:r>
              <w:rPr>
                <w:rFonts w:hint="eastAsia"/>
                <w:spacing w:val="-6"/>
              </w:rPr>
              <w:t>38,395.02</w:t>
            </w:r>
            <w:r>
              <w:rPr>
                <w:spacing w:val="-6"/>
              </w:rPr>
              <w:t>元</w:t>
            </w:r>
          </w:p>
        </w:tc>
      </w:tr>
    </w:tbl>
    <w:p>
      <w:pPr>
        <w:pStyle w:val="2"/>
        <w:spacing w:before="146" w:line="223" w:lineRule="auto"/>
        <w:ind w:left="479"/>
        <w:rPr>
          <w:sz w:val="18"/>
          <w:szCs w:val="18"/>
        </w:rPr>
      </w:pPr>
      <w:r>
        <w:rPr>
          <w:spacing w:val="-12"/>
          <w:sz w:val="18"/>
          <w:szCs w:val="18"/>
        </w:rPr>
        <w:t>注：</w:t>
      </w:r>
    </w:p>
    <w:p>
      <w:pPr>
        <w:pStyle w:val="2"/>
        <w:numPr>
          <w:ilvl w:val="0"/>
          <w:numId w:val="1"/>
        </w:numPr>
        <w:spacing w:before="250" w:line="218" w:lineRule="auto"/>
        <w:ind w:left="493"/>
        <w:rPr>
          <w:spacing w:val="-2"/>
          <w:sz w:val="18"/>
          <w:szCs w:val="18"/>
        </w:rPr>
      </w:pPr>
      <w:r>
        <w:rPr>
          <w:spacing w:val="-1"/>
          <w:sz w:val="18"/>
          <w:szCs w:val="18"/>
        </w:rPr>
        <w:t>本产品运作过程中发生的增值税应税行为，由产品承担增值税及附加税费，从理财财产中</w:t>
      </w:r>
      <w:r>
        <w:rPr>
          <w:spacing w:val="-2"/>
          <w:sz w:val="18"/>
          <w:szCs w:val="18"/>
        </w:rPr>
        <w:t>支付。</w:t>
      </w:r>
    </w:p>
    <w:p>
      <w:pPr>
        <w:pStyle w:val="2"/>
        <w:numPr>
          <w:ilvl w:val="0"/>
          <w:numId w:val="1"/>
        </w:numPr>
        <w:spacing w:before="250" w:line="218" w:lineRule="auto"/>
        <w:ind w:left="493"/>
        <w:rPr>
          <w:spacing w:val="-2"/>
          <w:sz w:val="18"/>
          <w:szCs w:val="18"/>
        </w:rPr>
      </w:pPr>
      <w:r>
        <w:rPr>
          <w:rFonts w:hint="eastAsia"/>
          <w:spacing w:val="-2"/>
          <w:sz w:val="18"/>
          <w:szCs w:val="18"/>
        </w:rPr>
        <w:t>本产品到期后向投资者支付的投资理财收益为未扣税收益，税费由投资者按税务机关相关法规办理，大兴安岭农村商业银行股份有限公司不承担代投资者扣缴相关税费的责任。</w:t>
      </w:r>
    </w:p>
    <w:p>
      <w:pPr>
        <w:pStyle w:val="2"/>
        <w:spacing w:before="255" w:line="465" w:lineRule="auto"/>
        <w:ind w:left="134" w:right="122" w:firstLine="347"/>
        <w:rPr>
          <w:sz w:val="18"/>
          <w:szCs w:val="18"/>
        </w:rPr>
      </w:pPr>
      <w:r>
        <w:rPr>
          <w:rFonts w:hint="eastAsia"/>
          <w:spacing w:val="-3"/>
          <w:sz w:val="18"/>
          <w:szCs w:val="18"/>
          <w:lang w:val="en-US" w:eastAsia="zh-CN"/>
        </w:rPr>
        <w:t>3</w:t>
      </w:r>
      <w:r>
        <w:rPr>
          <w:spacing w:val="-3"/>
          <w:sz w:val="18"/>
          <w:szCs w:val="18"/>
        </w:rPr>
        <w:t>、浮动管理费计提比例为产品实际业绩超出约定的</w:t>
      </w:r>
      <w:r>
        <w:rPr>
          <w:rFonts w:hint="eastAsia"/>
          <w:spacing w:val="-3"/>
          <w:sz w:val="18"/>
          <w:szCs w:val="18"/>
          <w:lang w:val="en-US" w:eastAsia="zh-CN"/>
        </w:rPr>
        <w:t>业绩比较基准</w:t>
      </w:r>
      <w:r>
        <w:rPr>
          <w:spacing w:val="-3"/>
          <w:sz w:val="18"/>
          <w:szCs w:val="18"/>
        </w:rPr>
        <w:t>提取标准</w:t>
      </w:r>
      <w:r>
        <w:rPr>
          <w:spacing w:val="-4"/>
          <w:sz w:val="18"/>
          <w:szCs w:val="18"/>
        </w:rPr>
        <w:t>后，</w:t>
      </w:r>
      <w:r>
        <w:rPr>
          <w:spacing w:val="-27"/>
          <w:sz w:val="18"/>
          <w:szCs w:val="18"/>
        </w:rPr>
        <w:t xml:space="preserve"> </w:t>
      </w:r>
      <w:r>
        <w:rPr>
          <w:spacing w:val="-4"/>
          <w:sz w:val="18"/>
          <w:szCs w:val="18"/>
        </w:rPr>
        <w:t>管理人对超出部分收取</w:t>
      </w:r>
      <w:r>
        <w:rPr>
          <w:sz w:val="18"/>
          <w:szCs w:val="18"/>
        </w:rPr>
        <w:t xml:space="preserve"> </w:t>
      </w:r>
      <w:r>
        <w:rPr>
          <w:spacing w:val="-5"/>
          <w:sz w:val="18"/>
          <w:szCs w:val="18"/>
        </w:rPr>
        <w:t>的浮动管理费比例。</w:t>
      </w:r>
    </w:p>
    <w:p>
      <w:pPr>
        <w:pStyle w:val="2"/>
        <w:spacing w:before="35" w:line="219" w:lineRule="auto"/>
        <w:ind w:left="605"/>
        <w:rPr>
          <w:sz w:val="18"/>
          <w:szCs w:val="18"/>
        </w:rPr>
      </w:pPr>
      <w:r>
        <w:rPr>
          <w:spacing w:val="-3"/>
          <w:sz w:val="18"/>
          <w:szCs w:val="18"/>
        </w:rPr>
        <w:t>理财非存款，产品有风险，投资须谨慎。</w:t>
      </w:r>
    </w:p>
    <w:p>
      <w:pPr>
        <w:spacing w:line="219" w:lineRule="auto"/>
        <w:rPr>
          <w:sz w:val="18"/>
          <w:szCs w:val="18"/>
        </w:rPr>
        <w:sectPr>
          <w:pgSz w:w="11906" w:h="16839"/>
          <w:pgMar w:top="1431" w:right="1686" w:bottom="0" w:left="1686" w:header="0" w:footer="0" w:gutter="0"/>
          <w:cols w:space="720" w:num="1"/>
        </w:sectPr>
      </w:pPr>
    </w:p>
    <w:p>
      <w:pPr>
        <w:pStyle w:val="2"/>
        <w:spacing w:before="125" w:line="347" w:lineRule="auto"/>
        <w:ind w:left="23" w:right="14" w:firstLine="481"/>
        <w:rPr>
          <w:sz w:val="18"/>
          <w:szCs w:val="18"/>
        </w:rPr>
      </w:pPr>
      <w:r>
        <w:rPr>
          <w:spacing w:val="4"/>
          <w:sz w:val="18"/>
          <w:szCs w:val="18"/>
        </w:rPr>
        <w:t>感谢您一直以来对大兴安岭农村商业银行股份有限公司的支持！敬请继续关注大兴安岭农村商业银行股份有限公司正在销售的其</w:t>
      </w:r>
      <w:r>
        <w:rPr>
          <w:spacing w:val="-6"/>
          <w:sz w:val="18"/>
          <w:szCs w:val="18"/>
        </w:rPr>
        <w:t>他理财产品。</w:t>
      </w:r>
    </w:p>
    <w:p>
      <w:pPr>
        <w:pStyle w:val="2"/>
        <w:spacing w:before="34" w:line="217" w:lineRule="auto"/>
        <w:ind w:left="500"/>
        <w:rPr>
          <w:sz w:val="18"/>
          <w:szCs w:val="18"/>
        </w:rPr>
      </w:pPr>
      <w:r>
        <w:rPr>
          <w:spacing w:val="-7"/>
          <w:sz w:val="18"/>
          <w:szCs w:val="18"/>
        </w:rPr>
        <w:t>特此公告。</w:t>
      </w:r>
    </w:p>
    <w:p>
      <w:pPr>
        <w:spacing w:line="285" w:lineRule="auto"/>
        <w:rPr>
          <w:rFonts w:ascii="Arial"/>
          <w:sz w:val="18"/>
          <w:szCs w:val="18"/>
        </w:rPr>
      </w:pPr>
    </w:p>
    <w:p>
      <w:pPr>
        <w:spacing w:line="286" w:lineRule="auto"/>
        <w:rPr>
          <w:rFonts w:ascii="Arial"/>
          <w:sz w:val="18"/>
          <w:szCs w:val="18"/>
        </w:rPr>
      </w:pPr>
    </w:p>
    <w:p>
      <w:pPr>
        <w:pStyle w:val="2"/>
        <w:keepNext w:val="0"/>
        <w:keepLines w:val="0"/>
        <w:pageBreakBefore w:val="0"/>
        <w:widowControl/>
        <w:kinsoku w:val="0"/>
        <w:wordWrap/>
        <w:overflowPunct w:val="0"/>
        <w:topLinePunct w:val="0"/>
        <w:autoSpaceDE w:val="0"/>
        <w:autoSpaceDN w:val="0"/>
        <w:bidi w:val="0"/>
        <w:adjustRightInd w:val="0"/>
        <w:snapToGrid w:val="0"/>
        <w:spacing w:before="78" w:line="348" w:lineRule="auto"/>
        <w:ind w:left="3780" w:leftChars="1800" w:right="11" w:firstLine="233" w:firstLineChars="119"/>
        <w:jc w:val="right"/>
        <w:textAlignment w:val="auto"/>
        <w:rPr>
          <w:rFonts w:hint="default"/>
          <w:spacing w:val="8"/>
          <w:sz w:val="18"/>
          <w:szCs w:val="18"/>
          <w:highlight w:val="none"/>
          <w:lang w:val="en-US"/>
        </w:rPr>
      </w:pPr>
      <w:r>
        <w:rPr>
          <w:rFonts w:hint="eastAsia"/>
          <w:spacing w:val="8"/>
          <w:sz w:val="18"/>
          <w:szCs w:val="18"/>
          <w:highlight w:val="none"/>
          <w:lang w:val="en-US" w:eastAsia="zh-CN"/>
        </w:rPr>
        <w:t>大兴安岭农村商业银行股份有限公司</w:t>
      </w:r>
    </w:p>
    <w:p>
      <w:pPr>
        <w:pStyle w:val="2"/>
        <w:spacing w:before="78" w:line="347" w:lineRule="auto"/>
        <w:ind w:left="4488" w:leftChars="2137" w:right="14" w:firstLine="214" w:firstLineChars="119"/>
        <w:jc w:val="right"/>
        <w:rPr>
          <w:sz w:val="18"/>
          <w:szCs w:val="18"/>
          <w:highlight w:val="yellow"/>
        </w:rPr>
      </w:pPr>
      <w:r>
        <w:rPr>
          <w:rFonts w:hint="eastAsia"/>
          <w:sz w:val="18"/>
          <w:szCs w:val="18"/>
          <w:highlight w:val="none"/>
          <w:lang w:val="en-US" w:eastAsia="zh-CN"/>
        </w:rPr>
        <w:t>2026年04月23日</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38C73"/>
    <w:multiLevelType w:val="singleLevel"/>
    <w:tmpl w:val="DF838C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60543C"/>
    <w:rsid w:val="0D692839"/>
    <w:rsid w:val="10D93BC8"/>
    <w:rsid w:val="1135025B"/>
    <w:rsid w:val="1897377C"/>
    <w:rsid w:val="26125D40"/>
    <w:rsid w:val="2D3666BC"/>
    <w:rsid w:val="2F407445"/>
    <w:rsid w:val="2FF04DA8"/>
    <w:rsid w:val="34515A35"/>
    <w:rsid w:val="379E4B32"/>
    <w:rsid w:val="39DC167C"/>
    <w:rsid w:val="47A04ACD"/>
    <w:rsid w:val="48E629B4"/>
    <w:rsid w:val="4F5904BD"/>
    <w:rsid w:val="55083E85"/>
    <w:rsid w:val="564F0341"/>
    <w:rsid w:val="57F40237"/>
    <w:rsid w:val="58504F64"/>
    <w:rsid w:val="598F6750"/>
    <w:rsid w:val="5D0764D2"/>
    <w:rsid w:val="60874625"/>
    <w:rsid w:val="67A861B9"/>
    <w:rsid w:val="6832131A"/>
    <w:rsid w:val="6DA63EFB"/>
    <w:rsid w:val="7B1448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395</Words>
  <Characters>765</Characters>
  <TotalTime>18</TotalTime>
  <ScaleCrop>false</ScaleCrop>
  <LinksUpToDate>false</LinksUpToDate>
  <CharactersWithSpaces>767</CharactersWithSpaces>
  <Application>WPS Office_11.8.2.12334_F1E327BC-269C-435d-A152-05C5408002CA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2024-04-29T09:31:00Z</dcterms:created>
  <dc:creator>徐峰</dc:creator>
  <cp:lastModifiedBy>江宇</cp:lastModifiedBy>
  <dcterms:modified xsi:type="dcterms:W3CDTF">2026-04-27T08:07:24Z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2025-01-10T10:45:59Z</vt:filetime>
  </property>
  <property fmtid="{D5CDD505-2E9C-101B-9397-08002B2CF9AE}" pid="4" name="KSOTemplateDocerSaveRecord">
    <vt:lpwstr>eyJoZGlkIjoiMmNlZWNjNzU1NjliMTQ5YzNhYjdjZDA4NGVjZTcwYmYiLCJ1c2VySWQiOiIyNzY0ODk3NDQifQ==</vt:lpwstr>
  </property>
  <property fmtid="{D5CDD505-2E9C-101B-9397-08002B2CF9AE}" pid="5" name="KSOProductBuildVer">
    <vt:lpwstr>2052-11.8.2.12334</vt:lpwstr>
  </property>
  <property fmtid="{D5CDD505-2E9C-101B-9397-08002B2CF9AE}" pid="6" name="ICV">
    <vt:lpwstr>70D7B50BA889428A8A6B1B4798D37B46_13</vt:lpwstr>
  </property>
</Properties>
</file>