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黑体" w:hAnsi="黑体" w:eastAsia="黑体" w:cs="黑体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44"/>
          <w:szCs w:val="44"/>
          <w:lang w:eastAsia="zh-CN"/>
        </w:rPr>
        <w:t>大兴安岭农商银行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信合同利净值型系列理财产品兑付公告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大兴安岭农商银行发行的“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信合同利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净值型系列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理财产品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”于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2025年9月11日到期一款理财产品，理财资金投资的资产在理财期间运作正常，在理财产品到期时已全部变现。本期产品投资收益情况如下：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t>信合同利净值型系列2024年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35</w:t>
      </w: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t>期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B</w:t>
      </w: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t>款理财产品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（一）产品基本信息</w:t>
      </w:r>
    </w:p>
    <w:tbl>
      <w:tblPr>
        <w:tblStyle w:val="3"/>
        <w:tblW w:w="982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95"/>
        <w:gridCol w:w="2455"/>
        <w:gridCol w:w="1170"/>
        <w:gridCol w:w="1135"/>
        <w:gridCol w:w="1161"/>
        <w:gridCol w:w="428"/>
        <w:gridCol w:w="817"/>
        <w:gridCol w:w="105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  <w:jc w:val="center"/>
        </w:trPr>
        <w:tc>
          <w:tcPr>
            <w:tcW w:w="15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产品登记编码</w:t>
            </w:r>
          </w:p>
        </w:tc>
        <w:tc>
          <w:tcPr>
            <w:tcW w:w="24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产品名称</w:t>
            </w:r>
          </w:p>
        </w:tc>
        <w:tc>
          <w:tcPr>
            <w:tcW w:w="11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起息日</w:t>
            </w:r>
          </w:p>
        </w:tc>
        <w:tc>
          <w:tcPr>
            <w:tcW w:w="113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到期日</w:t>
            </w:r>
          </w:p>
        </w:tc>
        <w:tc>
          <w:tcPr>
            <w:tcW w:w="1161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兑付日</w:t>
            </w:r>
          </w:p>
        </w:tc>
        <w:tc>
          <w:tcPr>
            <w:tcW w:w="42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期限(天)</w:t>
            </w:r>
          </w:p>
        </w:tc>
        <w:tc>
          <w:tcPr>
            <w:tcW w:w="81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产品类型</w:t>
            </w:r>
          </w:p>
        </w:tc>
        <w:tc>
          <w:tcPr>
            <w:tcW w:w="1059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客户年化净收益率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8" w:hRule="atLeast"/>
          <w:jc w:val="center"/>
        </w:trPr>
        <w:tc>
          <w:tcPr>
            <w:tcW w:w="15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eastAsia="微软雅黑" w:asciiTheme="minorEastAsia" w:hAnsi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  <w:t>C114562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  <w:t>0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0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  <w:t>00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94</w:t>
            </w:r>
          </w:p>
        </w:tc>
        <w:tc>
          <w:tcPr>
            <w:tcW w:w="24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信合同利净值型系列2024年35期B款理财产品</w:t>
            </w:r>
          </w:p>
        </w:tc>
        <w:tc>
          <w:tcPr>
            <w:tcW w:w="11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eastAsia="微软雅黑" w:asciiTheme="minorEastAsia" w:hAnsi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2024/9/19</w:t>
            </w:r>
          </w:p>
        </w:tc>
        <w:tc>
          <w:tcPr>
            <w:tcW w:w="113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2025/9/11</w:t>
            </w:r>
          </w:p>
        </w:tc>
        <w:tc>
          <w:tcPr>
            <w:tcW w:w="1161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2025/9/11</w:t>
            </w:r>
          </w:p>
        </w:tc>
        <w:tc>
          <w:tcPr>
            <w:tcW w:w="42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357</w:t>
            </w:r>
          </w:p>
        </w:tc>
        <w:tc>
          <w:tcPr>
            <w:tcW w:w="81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9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2.90%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（二）产品收益分配以及费用情况：</w:t>
      </w:r>
    </w:p>
    <w:tbl>
      <w:tblPr>
        <w:tblStyle w:val="3"/>
        <w:tblW w:w="572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22"/>
        <w:gridCol w:w="1383"/>
        <w:gridCol w:w="1201"/>
        <w:gridCol w:w="644"/>
        <w:gridCol w:w="615"/>
        <w:gridCol w:w="6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  <w:jc w:val="center"/>
        </w:trPr>
        <w:tc>
          <w:tcPr>
            <w:tcW w:w="3806" w:type="dxa"/>
            <w:gridSpan w:val="3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总兑付客户本息金额(元)</w:t>
            </w:r>
          </w:p>
        </w:tc>
        <w:tc>
          <w:tcPr>
            <w:tcW w:w="1914" w:type="dxa"/>
            <w:gridSpan w:val="3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银行费用金额(元)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  <w:jc w:val="center"/>
        </w:trPr>
        <w:tc>
          <w:tcPr>
            <w:tcW w:w="3806" w:type="dxa"/>
            <w:gridSpan w:val="3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15425465.75</w:t>
            </w:r>
          </w:p>
        </w:tc>
        <w:tc>
          <w:tcPr>
            <w:tcW w:w="1914" w:type="dxa"/>
            <w:gridSpan w:val="3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45442.87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  <w:jc w:val="center"/>
        </w:trPr>
        <w:tc>
          <w:tcPr>
            <w:tcW w:w="12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托管费(%)</w:t>
            </w:r>
          </w:p>
        </w:tc>
        <w:tc>
          <w:tcPr>
            <w:tcW w:w="138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估值服务费(%)</w:t>
            </w:r>
          </w:p>
        </w:tc>
        <w:tc>
          <w:tcPr>
            <w:tcW w:w="1201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管理费(%)</w:t>
            </w:r>
          </w:p>
        </w:tc>
        <w:tc>
          <w:tcPr>
            <w:tcW w:w="64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  <w:tc>
          <w:tcPr>
            <w:tcW w:w="61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  <w:tc>
          <w:tcPr>
            <w:tcW w:w="6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2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0.005</w:t>
            </w:r>
          </w:p>
        </w:tc>
        <w:tc>
          <w:tcPr>
            <w:tcW w:w="138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0.005</w:t>
            </w:r>
          </w:p>
        </w:tc>
        <w:tc>
          <w:tcPr>
            <w:tcW w:w="1201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0.30</w:t>
            </w:r>
          </w:p>
        </w:tc>
        <w:tc>
          <w:tcPr>
            <w:tcW w:w="64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  <w:tc>
          <w:tcPr>
            <w:tcW w:w="61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  <w:tc>
          <w:tcPr>
            <w:tcW w:w="6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说明：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1.产品存续期间，大兴安岭农商银行将在协议约定的范围内，管理和运用理财产品资金，并根据市场情况、政策变化等因素，合理调整所投资的资产种类及配置比例。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2.产品成立，在黑龙江省农村信用社综合理财平台进行批量扣款处理，理财资金预计在成立日日初6时后划入我行理财资金归集账户。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3.产品到期，在黑龙江省农村信用社综合理财平台进行批量分配处理，理财资金预计在兑付日日终19时后划入投资者购买账户。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感谢您投资大兴安岭农商银行理财产品，敬请继续关注我行近期推出的理财产品！                                                            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大兴安岭农商银行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二〇二五年九月十一日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757247"/>
    <w:multiLevelType w:val="singleLevel"/>
    <w:tmpl w:val="1D75724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520E7B"/>
    <w:rsid w:val="002808C6"/>
    <w:rsid w:val="008401E0"/>
    <w:rsid w:val="00CC2E9F"/>
    <w:rsid w:val="00D96395"/>
    <w:rsid w:val="0273462D"/>
    <w:rsid w:val="030F5923"/>
    <w:rsid w:val="035D0A5A"/>
    <w:rsid w:val="037875BD"/>
    <w:rsid w:val="03C559B7"/>
    <w:rsid w:val="03DE6C95"/>
    <w:rsid w:val="041F556B"/>
    <w:rsid w:val="04FA369F"/>
    <w:rsid w:val="054153AE"/>
    <w:rsid w:val="05901CA8"/>
    <w:rsid w:val="07720E99"/>
    <w:rsid w:val="077C0B2A"/>
    <w:rsid w:val="07B8589F"/>
    <w:rsid w:val="07CA3109"/>
    <w:rsid w:val="0867112F"/>
    <w:rsid w:val="08AC2CEB"/>
    <w:rsid w:val="08AF56F1"/>
    <w:rsid w:val="0A8C54E5"/>
    <w:rsid w:val="0A9E3DC0"/>
    <w:rsid w:val="0B1D681A"/>
    <w:rsid w:val="0C0255CD"/>
    <w:rsid w:val="0C2120E3"/>
    <w:rsid w:val="0CE01883"/>
    <w:rsid w:val="0D7649D7"/>
    <w:rsid w:val="0EF86AAB"/>
    <w:rsid w:val="0F1B6736"/>
    <w:rsid w:val="0F762269"/>
    <w:rsid w:val="0F8B442E"/>
    <w:rsid w:val="0FDB139E"/>
    <w:rsid w:val="0FE73833"/>
    <w:rsid w:val="10E07745"/>
    <w:rsid w:val="10EA7B5A"/>
    <w:rsid w:val="11135EB0"/>
    <w:rsid w:val="114F0A7E"/>
    <w:rsid w:val="11CF32FC"/>
    <w:rsid w:val="120532B5"/>
    <w:rsid w:val="129C0248"/>
    <w:rsid w:val="12A4041E"/>
    <w:rsid w:val="12F72569"/>
    <w:rsid w:val="13727D83"/>
    <w:rsid w:val="13950FE5"/>
    <w:rsid w:val="13A924ED"/>
    <w:rsid w:val="148B044E"/>
    <w:rsid w:val="14A05C42"/>
    <w:rsid w:val="14B128D6"/>
    <w:rsid w:val="14C91F38"/>
    <w:rsid w:val="14DA16E2"/>
    <w:rsid w:val="15052FBB"/>
    <w:rsid w:val="15535103"/>
    <w:rsid w:val="15571588"/>
    <w:rsid w:val="15576DFF"/>
    <w:rsid w:val="158960D5"/>
    <w:rsid w:val="159F72EA"/>
    <w:rsid w:val="15D34D46"/>
    <w:rsid w:val="15EF692D"/>
    <w:rsid w:val="162125F3"/>
    <w:rsid w:val="16565A37"/>
    <w:rsid w:val="1674446D"/>
    <w:rsid w:val="16784189"/>
    <w:rsid w:val="16901E46"/>
    <w:rsid w:val="16952CF4"/>
    <w:rsid w:val="16C61F5D"/>
    <w:rsid w:val="16D35363"/>
    <w:rsid w:val="1725012D"/>
    <w:rsid w:val="17526978"/>
    <w:rsid w:val="179D5E6F"/>
    <w:rsid w:val="17D94592"/>
    <w:rsid w:val="188C0AE8"/>
    <w:rsid w:val="1A961DB5"/>
    <w:rsid w:val="1ADE6BE5"/>
    <w:rsid w:val="1AF94730"/>
    <w:rsid w:val="1B4C5C07"/>
    <w:rsid w:val="1B981CB6"/>
    <w:rsid w:val="1C602A27"/>
    <w:rsid w:val="1C8B5878"/>
    <w:rsid w:val="1CC0782E"/>
    <w:rsid w:val="1CD14086"/>
    <w:rsid w:val="1CF30E0C"/>
    <w:rsid w:val="1D15489A"/>
    <w:rsid w:val="1D1E2CF0"/>
    <w:rsid w:val="1D577761"/>
    <w:rsid w:val="1D671DF1"/>
    <w:rsid w:val="1DA67D4D"/>
    <w:rsid w:val="1DD83FA3"/>
    <w:rsid w:val="1DFC5EBC"/>
    <w:rsid w:val="1EC93D5B"/>
    <w:rsid w:val="1F0166EC"/>
    <w:rsid w:val="1F332411"/>
    <w:rsid w:val="1F360696"/>
    <w:rsid w:val="1F436EB3"/>
    <w:rsid w:val="1F8750F8"/>
    <w:rsid w:val="21005A71"/>
    <w:rsid w:val="21282354"/>
    <w:rsid w:val="21CF619C"/>
    <w:rsid w:val="21D82FAF"/>
    <w:rsid w:val="22C30D0C"/>
    <w:rsid w:val="22F958E7"/>
    <w:rsid w:val="232844E4"/>
    <w:rsid w:val="23470A5E"/>
    <w:rsid w:val="234E087D"/>
    <w:rsid w:val="23865A1C"/>
    <w:rsid w:val="238A00BC"/>
    <w:rsid w:val="24EE1A0E"/>
    <w:rsid w:val="25166584"/>
    <w:rsid w:val="25382FE8"/>
    <w:rsid w:val="255A2924"/>
    <w:rsid w:val="257F3640"/>
    <w:rsid w:val="267676CB"/>
    <w:rsid w:val="26A3668A"/>
    <w:rsid w:val="271E6302"/>
    <w:rsid w:val="27796344"/>
    <w:rsid w:val="27A71FF3"/>
    <w:rsid w:val="27BB7D26"/>
    <w:rsid w:val="27E934E4"/>
    <w:rsid w:val="28356539"/>
    <w:rsid w:val="28957B60"/>
    <w:rsid w:val="292F6605"/>
    <w:rsid w:val="295E7507"/>
    <w:rsid w:val="29813291"/>
    <w:rsid w:val="2AB77D55"/>
    <w:rsid w:val="2B114588"/>
    <w:rsid w:val="2BCC6302"/>
    <w:rsid w:val="2BE02009"/>
    <w:rsid w:val="2C5912E0"/>
    <w:rsid w:val="2C6E152E"/>
    <w:rsid w:val="2C7A2EEC"/>
    <w:rsid w:val="2CE777DD"/>
    <w:rsid w:val="2D150BB5"/>
    <w:rsid w:val="2D185235"/>
    <w:rsid w:val="2E1D3157"/>
    <w:rsid w:val="2E1E4938"/>
    <w:rsid w:val="2E3D038F"/>
    <w:rsid w:val="2E707A5C"/>
    <w:rsid w:val="2E946C24"/>
    <w:rsid w:val="2F0A5634"/>
    <w:rsid w:val="2F9117C8"/>
    <w:rsid w:val="2FE8281A"/>
    <w:rsid w:val="306E36FB"/>
    <w:rsid w:val="309C1B9C"/>
    <w:rsid w:val="31B86355"/>
    <w:rsid w:val="31E37168"/>
    <w:rsid w:val="32352C67"/>
    <w:rsid w:val="327C5B31"/>
    <w:rsid w:val="32924E11"/>
    <w:rsid w:val="32C342C1"/>
    <w:rsid w:val="3448585C"/>
    <w:rsid w:val="345F6E57"/>
    <w:rsid w:val="350C78D1"/>
    <w:rsid w:val="351F1913"/>
    <w:rsid w:val="35843DFA"/>
    <w:rsid w:val="36172BA6"/>
    <w:rsid w:val="362F00FD"/>
    <w:rsid w:val="373E3DE0"/>
    <w:rsid w:val="374157BC"/>
    <w:rsid w:val="37A06C11"/>
    <w:rsid w:val="37C4627D"/>
    <w:rsid w:val="38986E41"/>
    <w:rsid w:val="39100786"/>
    <w:rsid w:val="39310604"/>
    <w:rsid w:val="3A623050"/>
    <w:rsid w:val="3AB50897"/>
    <w:rsid w:val="3ADE4197"/>
    <w:rsid w:val="3B2B2D52"/>
    <w:rsid w:val="3CC96794"/>
    <w:rsid w:val="3E134EB9"/>
    <w:rsid w:val="3E182413"/>
    <w:rsid w:val="3E2B65EE"/>
    <w:rsid w:val="3E87400D"/>
    <w:rsid w:val="3EB91DE1"/>
    <w:rsid w:val="3ECB2CB2"/>
    <w:rsid w:val="3FAC72ED"/>
    <w:rsid w:val="3FD45953"/>
    <w:rsid w:val="40007862"/>
    <w:rsid w:val="407C2E10"/>
    <w:rsid w:val="4149743C"/>
    <w:rsid w:val="41A62FF2"/>
    <w:rsid w:val="41A81D21"/>
    <w:rsid w:val="41E9459A"/>
    <w:rsid w:val="41EE5803"/>
    <w:rsid w:val="421141B7"/>
    <w:rsid w:val="42D54364"/>
    <w:rsid w:val="42FA1028"/>
    <w:rsid w:val="432E277F"/>
    <w:rsid w:val="43511834"/>
    <w:rsid w:val="43683D70"/>
    <w:rsid w:val="439D623B"/>
    <w:rsid w:val="43F23B46"/>
    <w:rsid w:val="448B6F6A"/>
    <w:rsid w:val="449154A8"/>
    <w:rsid w:val="44D42150"/>
    <w:rsid w:val="44F633B4"/>
    <w:rsid w:val="452D032D"/>
    <w:rsid w:val="452D2925"/>
    <w:rsid w:val="46080F0C"/>
    <w:rsid w:val="46297382"/>
    <w:rsid w:val="463B4ABA"/>
    <w:rsid w:val="46DD038A"/>
    <w:rsid w:val="46E47A60"/>
    <w:rsid w:val="46EC4B01"/>
    <w:rsid w:val="4791713E"/>
    <w:rsid w:val="47EA7380"/>
    <w:rsid w:val="483C1968"/>
    <w:rsid w:val="484F729C"/>
    <w:rsid w:val="48FF099D"/>
    <w:rsid w:val="4908422E"/>
    <w:rsid w:val="4A49294B"/>
    <w:rsid w:val="4A655E53"/>
    <w:rsid w:val="4A8877B9"/>
    <w:rsid w:val="4ABA4B3C"/>
    <w:rsid w:val="4B573522"/>
    <w:rsid w:val="4BAA22C8"/>
    <w:rsid w:val="4BB95C07"/>
    <w:rsid w:val="4BF0659C"/>
    <w:rsid w:val="4D286922"/>
    <w:rsid w:val="4D564D2E"/>
    <w:rsid w:val="4D920C75"/>
    <w:rsid w:val="4E3F0572"/>
    <w:rsid w:val="4EA4122D"/>
    <w:rsid w:val="4ED33B98"/>
    <w:rsid w:val="4EDE7553"/>
    <w:rsid w:val="4FD726C7"/>
    <w:rsid w:val="4FF82EC3"/>
    <w:rsid w:val="50075475"/>
    <w:rsid w:val="50CC676F"/>
    <w:rsid w:val="50D73F48"/>
    <w:rsid w:val="51C755F4"/>
    <w:rsid w:val="52542F9F"/>
    <w:rsid w:val="52CF212F"/>
    <w:rsid w:val="53A937E4"/>
    <w:rsid w:val="53D47411"/>
    <w:rsid w:val="54257353"/>
    <w:rsid w:val="5431424E"/>
    <w:rsid w:val="54F313D8"/>
    <w:rsid w:val="5527308F"/>
    <w:rsid w:val="555C1D12"/>
    <w:rsid w:val="55935199"/>
    <w:rsid w:val="55BB3715"/>
    <w:rsid w:val="55BD2B74"/>
    <w:rsid w:val="55D75F40"/>
    <w:rsid w:val="55F67C51"/>
    <w:rsid w:val="568F0E78"/>
    <w:rsid w:val="569E6756"/>
    <w:rsid w:val="57296A4E"/>
    <w:rsid w:val="573C1B64"/>
    <w:rsid w:val="578F12AA"/>
    <w:rsid w:val="57CA45EA"/>
    <w:rsid w:val="57CA54DB"/>
    <w:rsid w:val="5807472D"/>
    <w:rsid w:val="58586C64"/>
    <w:rsid w:val="58E90955"/>
    <w:rsid w:val="59CA14CB"/>
    <w:rsid w:val="5D244E4B"/>
    <w:rsid w:val="5D824C34"/>
    <w:rsid w:val="5D903598"/>
    <w:rsid w:val="5E581AB9"/>
    <w:rsid w:val="5E6F69DF"/>
    <w:rsid w:val="5EE32113"/>
    <w:rsid w:val="5EEE2965"/>
    <w:rsid w:val="5F4409DC"/>
    <w:rsid w:val="5F884E0F"/>
    <w:rsid w:val="5F9A2439"/>
    <w:rsid w:val="604C112F"/>
    <w:rsid w:val="607B5B07"/>
    <w:rsid w:val="608D537B"/>
    <w:rsid w:val="60B8497A"/>
    <w:rsid w:val="61426C72"/>
    <w:rsid w:val="61A457F3"/>
    <w:rsid w:val="61B03F6E"/>
    <w:rsid w:val="61BE1D2B"/>
    <w:rsid w:val="61C117E8"/>
    <w:rsid w:val="621B4145"/>
    <w:rsid w:val="624F7453"/>
    <w:rsid w:val="62A14397"/>
    <w:rsid w:val="62BA6F46"/>
    <w:rsid w:val="62BD0769"/>
    <w:rsid w:val="6320659A"/>
    <w:rsid w:val="63836240"/>
    <w:rsid w:val="63CD4359"/>
    <w:rsid w:val="63D17251"/>
    <w:rsid w:val="63F25AA0"/>
    <w:rsid w:val="63F35264"/>
    <w:rsid w:val="63FE0A4C"/>
    <w:rsid w:val="64C55781"/>
    <w:rsid w:val="65223FE0"/>
    <w:rsid w:val="65446530"/>
    <w:rsid w:val="65467A65"/>
    <w:rsid w:val="655D3D05"/>
    <w:rsid w:val="656138EF"/>
    <w:rsid w:val="65E036B9"/>
    <w:rsid w:val="662D5B90"/>
    <w:rsid w:val="66470ABE"/>
    <w:rsid w:val="67205733"/>
    <w:rsid w:val="67271778"/>
    <w:rsid w:val="67670359"/>
    <w:rsid w:val="677D7392"/>
    <w:rsid w:val="67FB0CED"/>
    <w:rsid w:val="686A1CD0"/>
    <w:rsid w:val="68C10A18"/>
    <w:rsid w:val="6928125D"/>
    <w:rsid w:val="699D5675"/>
    <w:rsid w:val="6A377CDE"/>
    <w:rsid w:val="6A8A68BF"/>
    <w:rsid w:val="6AA0708F"/>
    <w:rsid w:val="6AFB1C8F"/>
    <w:rsid w:val="6B3B7347"/>
    <w:rsid w:val="6C294068"/>
    <w:rsid w:val="6D2F0B0B"/>
    <w:rsid w:val="6D520E7B"/>
    <w:rsid w:val="6D626633"/>
    <w:rsid w:val="6E465133"/>
    <w:rsid w:val="6E710192"/>
    <w:rsid w:val="6E7A2ABE"/>
    <w:rsid w:val="6E99701A"/>
    <w:rsid w:val="6F03265B"/>
    <w:rsid w:val="6FBC3805"/>
    <w:rsid w:val="7024586D"/>
    <w:rsid w:val="70664130"/>
    <w:rsid w:val="7093670D"/>
    <w:rsid w:val="716C4DA9"/>
    <w:rsid w:val="71913840"/>
    <w:rsid w:val="71F61CE2"/>
    <w:rsid w:val="7293016A"/>
    <w:rsid w:val="73265096"/>
    <w:rsid w:val="73825AAE"/>
    <w:rsid w:val="74184109"/>
    <w:rsid w:val="7440567B"/>
    <w:rsid w:val="75FA31CB"/>
    <w:rsid w:val="7601161C"/>
    <w:rsid w:val="76C92CBF"/>
    <w:rsid w:val="770723B5"/>
    <w:rsid w:val="77174796"/>
    <w:rsid w:val="77850FA6"/>
    <w:rsid w:val="791C6D3F"/>
    <w:rsid w:val="795B5EA3"/>
    <w:rsid w:val="795F2261"/>
    <w:rsid w:val="7A451A8D"/>
    <w:rsid w:val="7ACC5B80"/>
    <w:rsid w:val="7B506D0A"/>
    <w:rsid w:val="7BA33FB3"/>
    <w:rsid w:val="7BE0751A"/>
    <w:rsid w:val="7D134866"/>
    <w:rsid w:val="7E4B48BD"/>
    <w:rsid w:val="7E6D45D6"/>
    <w:rsid w:val="7E994AED"/>
    <w:rsid w:val="7FB10693"/>
    <w:rsid w:val="7FD1316E"/>
    <w:rsid w:val="7FEB3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Office_10.8.2.6870_F1E327BC-269C-435d-A152-05C5408002CA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2021-04-06T02:26:00Z</dcterms:created>
  <dc:creator>Administrator</dc:creator>
  <cp:lastModifiedBy>江宇</cp:lastModifiedBy>
  <dcterms:modified xsi:type="dcterms:W3CDTF">2025-09-12T01:41:11Z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2052-10.8.2.6870</vt:lpwstr>
  </property>
</Properties>
</file>